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21E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1. Uvod</w:t>
      </w:r>
    </w:p>
    <w:p w14:paraId="7E1B099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 sodobnem andragoškem diskurzu se vprašanje učinkovitosti izobraževalnih metodologij ne nanaša več zgolj na prenos informacij, temveč na razvoj kompetenc, ki posamezniku omogočajo navigacijo skozi kompleksna in hitro spreminjajoča se delovna ter življenjska okolja. Namen pričujoče strokovne analize je izvesti kritično in empirično podprto evalvacijo vloge, učinkovitosti ter implementacijskih izzivov izkustvenega učenja (EL) kot ključne didaktične strategije v izobraževanju odraslih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Izhodišče naše raziskave temelji na konceptualizaciji andragogije, ki jo je populariziral Malcolm Knowles in jo opredelil kot specifično umetnost in znanost pomoči odraslim pri učenju, s čimer je vzpostavil jasno distinkcijo do pedagoških pristopov, namenjenih otrokom (Mukhalalati in Taylor, 2019; Pappas, 2025).</w:t>
      </w:r>
    </w:p>
    <w:p w14:paraId="6E4AC74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 nalogi si prizadevamo preseči zgolj deskriptivni nivo obravnave izkustvenih metod. Naš cilj je razkriti globlje kognitivne in socialne mehanizme, ki omogočajo prenos neposredne izkušnje v trajno in aplikativno znanje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Pri tem preverjamo teoretsko usklajenost izkustvenega učenja z andragoškim okvirom, identificiramo empirične dokaze o njegovi superiornosti v primerjavi s tradicionalnimi metodami ter kritično razpravljamo o praktičnih ovirah, ki zavirajo njegovo optimalno integracijo v izobraževalne sisteme.</w:t>
      </w:r>
    </w:p>
    <w:p w14:paraId="45CCEE0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Aktualnost obravnavane problematike izhaja iz spremenjenega konteksta 21. stoletja, kjer se zahteve delovnih okolij radikalno preoblikujejo. Izkustveno učenje je postalo kritični okvir za spopadanje s temi zahtevami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Številne empirične študije namreč kažejo na signifikanten razkorak med ponudbo formalnih izobraževalnih modelov in dejanskimi preferencami odraslih učencev. Posamezniki izkazujejo močno nagnjenost k neformalnim učnim vzorcem, kot sta metoda poskusa in napake (</w:t>
      </w:r>
      <w:r w:rsidRPr="00B92478">
        <w:rPr>
          <w:rFonts w:ascii="Times New Roman" w:eastAsia="Times New Roman" w:hAnsi="Times New Roman" w:cs="Times New Roman"/>
          <w:i/>
          <w:iCs/>
          <w:kern w:val="0"/>
          <w:lang w:eastAsia="en-GB"/>
          <w14:ligatures w14:val="none"/>
        </w:rPr>
        <w:t>trial and error</w:t>
      </w:r>
      <w:r w:rsidRPr="00B92478">
        <w:rPr>
          <w:rFonts w:ascii="Times New Roman" w:eastAsia="Times New Roman" w:hAnsi="Times New Roman" w:cs="Times New Roman"/>
          <w:kern w:val="0"/>
          <w:lang w:eastAsia="en-GB"/>
          <w14:ligatures w14:val="none"/>
        </w:rPr>
        <w:t>) ter socialno učenje prek vrstniških razprav (</w:t>
      </w:r>
      <w:r w:rsidRPr="00B92478">
        <w:rPr>
          <w:rFonts w:ascii="Times New Roman" w:eastAsia="Times New Roman" w:hAnsi="Times New Roman" w:cs="Times New Roman"/>
          <w:i/>
          <w:iCs/>
          <w:kern w:val="0"/>
          <w:lang w:eastAsia="en-GB"/>
          <w14:ligatures w14:val="none"/>
        </w:rPr>
        <w:t>peer discussions</w:t>
      </w:r>
      <w:r w:rsidRPr="00B92478">
        <w:rPr>
          <w:rFonts w:ascii="Times New Roman" w:eastAsia="Times New Roman" w:hAnsi="Times New Roman" w:cs="Times New Roman"/>
          <w:kern w:val="0"/>
          <w:lang w:eastAsia="en-GB"/>
          <w14:ligatures w14:val="none"/>
        </w:rPr>
        <w:t>), medtem ko formalne modele usposabljanja, kot so predavanja in linearne predstavitve, pogosto zavračajo (Sahni in Chilton, 2025). Ilustrativen primer tega fenomena nudi študija o uvajanju orodij umetne inteligence, kjer je kar sedem od desetih udeležencev izrecno poročalo, da so ignorirali formalne videoposnetke za usposabljanje. Kot razlog so navajali predvsem časovne omejitve in izrazito preferenco do samovodenega raziskovanja orodij (Sahni in Chilton, 2025).</w:t>
      </w:r>
    </w:p>
    <w:p w14:paraId="61D5462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Navedeni empirični podatki narekujejo nujno reorientacijo andragoškega fokusa. Izobraževanje odraslih se mora odmakniti od pasivne transmisije znanja k metodam, ki omogočajo aktivno angažiranost in takojšnjo aplikacijo vsebin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Izkustveno učenje v tem kontekstu ne deluje le kot metoda pridobivanja tehničnih znanj, temveč kot katalizator za razvoj ključnih transverzalnih veščin. Raziskave potrjujejo, da EL spodbuja kognitivno fleksibilnost, kritično refleksijo, socialno zavest, medosebno učinkovitost in osebno avtonomijo (Learner Variability Project, b. d.;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Specifične izkustvene strategije, kot je akcijsko učenje (AL), dodatno krepijo sposobnosti kritičnega mišljenja, sistematičnega spraševanja in reflektivnega poslušanja, kar so temeljne kompetence za delovanje v sodobnih organizacijah (Action Learning Associates, b. d.).</w:t>
      </w:r>
    </w:p>
    <w:p w14:paraId="4DF159C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 konsistentno razumevanje nadaljnje analize je ključna natančna opredelitev terminološkega aparata, ki ga uporabljamo v nalogi:</w:t>
      </w:r>
    </w:p>
    <w:p w14:paraId="3F0DFAB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Prvič, </w:t>
      </w:r>
      <w:r w:rsidRPr="00B92478">
        <w:rPr>
          <w:rFonts w:ascii="Times New Roman" w:eastAsia="Times New Roman" w:hAnsi="Times New Roman" w:cs="Times New Roman"/>
          <w:b/>
          <w:bCs/>
          <w:kern w:val="0"/>
          <w:lang w:eastAsia="en-GB"/>
          <w14:ligatures w14:val="none"/>
        </w:rPr>
        <w:t>izkustveno učenje (EL)</w:t>
      </w:r>
      <w:r w:rsidRPr="00B92478">
        <w:rPr>
          <w:rFonts w:ascii="Times New Roman" w:eastAsia="Times New Roman" w:hAnsi="Times New Roman" w:cs="Times New Roman"/>
          <w:kern w:val="0"/>
          <w:lang w:eastAsia="en-GB"/>
          <w14:ligatures w14:val="none"/>
        </w:rPr>
        <w:t> razumemo kot proces "učenja z delovanjem" in aktivno udeležbo v nalogah, ki simulirajo ali replicirajo scenarije iz realnega sveta. Ta praktična metodologija poudarja pridobivanje veščin ter poglabljanje razumevanja in retencije znanja skozi neposredno izkušnjo (Park University, 2025; Experiential Learning Institute, 2020).</w:t>
      </w:r>
    </w:p>
    <w:p w14:paraId="1657122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Drugič, </w:t>
      </w:r>
      <w:r w:rsidRPr="00B92478">
        <w:rPr>
          <w:rFonts w:ascii="Times New Roman" w:eastAsia="Times New Roman" w:hAnsi="Times New Roman" w:cs="Times New Roman"/>
          <w:b/>
          <w:bCs/>
          <w:kern w:val="0"/>
          <w:lang w:eastAsia="en-GB"/>
          <w14:ligatures w14:val="none"/>
        </w:rPr>
        <w:t>andragogija</w:t>
      </w:r>
      <w:r w:rsidRPr="00B92478">
        <w:rPr>
          <w:rFonts w:ascii="Times New Roman" w:eastAsia="Times New Roman" w:hAnsi="Times New Roman" w:cs="Times New Roman"/>
          <w:kern w:val="0"/>
          <w:lang w:eastAsia="en-GB"/>
          <w14:ligatures w14:val="none"/>
        </w:rPr>
        <w:t> predstavlja teoretski okvir, utemeljen na specifičnih predpostavkah o odraslih učencih, ki se bistveno razlikujejo od pedagoških načel. Koncept, ki ga je v poznih šestdesetih letih 20. stoletja populariziral Malcolm Knowles, poudarja samousmerjenost, notranjo motivacijo in pomen življenjskih izkušenj v učnem procesu (Mukhalalati in Taylor, 2019; Pappas, 2025).</w:t>
      </w:r>
    </w:p>
    <w:p w14:paraId="255FF7F9" w14:textId="77777777" w:rsid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Tretjič, </w:t>
      </w:r>
      <w:r w:rsidRPr="00B92478">
        <w:rPr>
          <w:rFonts w:ascii="Times New Roman" w:eastAsia="Times New Roman" w:hAnsi="Times New Roman" w:cs="Times New Roman"/>
          <w:b/>
          <w:bCs/>
          <w:kern w:val="0"/>
          <w:lang w:eastAsia="en-GB"/>
          <w14:ligatures w14:val="none"/>
        </w:rPr>
        <w:t>refleksivna praksa</w:t>
      </w:r>
      <w:r w:rsidRPr="00B92478">
        <w:rPr>
          <w:rFonts w:ascii="Times New Roman" w:eastAsia="Times New Roman" w:hAnsi="Times New Roman" w:cs="Times New Roman"/>
          <w:kern w:val="0"/>
          <w:lang w:eastAsia="en-GB"/>
          <w14:ligatures w14:val="none"/>
        </w:rPr>
        <w:t> je opredeljena kot strukturiran kognitivni proces analize izkušenj, ki sledi cikličnim modelom, kot je Kolbov model refleksivnega opazovanja (Kolb, 1984). V naši analizi zagovarjamo tezo, da je prav refleksija nujni pogoj za izpeljavo lekcij ter informiranje prihodnjih dejanj in izboljšav, brez katere izkustveno učenje ostaja na ravni nepremišljenega aktivizma (Gibbs, 1988; Machost in Stains, 2023).</w:t>
      </w:r>
    </w:p>
    <w:p w14:paraId="3C3826EC" w14:textId="77777777" w:rsidR="00B92478" w:rsidRDefault="00B9247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69518DF0" w14:textId="2E70E619"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lastRenderedPageBreak/>
        <w:t>2. Teoretska konceptualizacija: Od filozofskih temeljev do andragoške sinteze</w:t>
      </w:r>
    </w:p>
    <w:p w14:paraId="78BF319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Izkustveno učenje (EL) predstavlja robusten teoretični konstrukt, ki presega zgolj metodološko orodje in se vzpostavlja kot celovita filozofija izobraževanja. Njegova utemeljenost v izobraževalni praksi za odrasle ni naključna, temveč izhaja iz globoke konvergence med ontološkimi značilnostmi odraslega učenca in epistemološkimi procesi pridobivanja znanja skozi izkušnjo. V tem poglavju analiziramo genezo modelov izkustvenega učenja, njihovo kristalizacijo v Kolbovem ciklu ter njihovo neizogibno povezanost z andragoško paradigmo Malcolma Knowlesa.</w:t>
      </w:r>
    </w:p>
    <w:p w14:paraId="59DE3BE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2.1. Geneza in evolucija modelov izkustvenega učenja (ELT)</w:t>
      </w:r>
    </w:p>
    <w:p w14:paraId="3DADFDA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Teoretični okvir izkustvenega učenja (ELT) ne nastaja v vakuumu, temveč predstavlja sintezo dela vplivnih mislecev, med katerimi osrednje mesto zasedata John Dewey in Kurt Lewin (Schwehm idr., 2017; Yardley idr., 2012; Smith, 2001). Ameriški filozof in pedagog John Dewey (1938) je v svojem temeljnem delu </w:t>
      </w:r>
      <w:r w:rsidRPr="00B92478">
        <w:rPr>
          <w:rFonts w:ascii="Times New Roman" w:eastAsia="Times New Roman" w:hAnsi="Times New Roman" w:cs="Times New Roman"/>
          <w:i/>
          <w:iCs/>
          <w:kern w:val="0"/>
          <w:lang w:eastAsia="en-GB"/>
          <w14:ligatures w14:val="none"/>
        </w:rPr>
        <w:t>Experience and Education</w:t>
      </w:r>
      <w:r w:rsidRPr="00B92478">
        <w:rPr>
          <w:rFonts w:ascii="Times New Roman" w:eastAsia="Times New Roman" w:hAnsi="Times New Roman" w:cs="Times New Roman"/>
          <w:kern w:val="0"/>
          <w:lang w:eastAsia="en-GB"/>
          <w14:ligatures w14:val="none"/>
        </w:rPr>
        <w:t> postavil aksiomatsko zahtevo, da mora izobraževanje izhajati neposredno iz izkušenj (Dewey, 1938; Giles in Eyler, 1994). Dewey je kritiziral tako rigidnost tradicionalnega izobraževanja kot tudi površinskost nekaterih oblik progresivnega izobraževanja, ki niso aplicirale principov skrbno razvite filozofije izkušenj (Dewey, 1938). Njegova ključna teza je bila, da mora učna situacija spoštovati vse vire izkušenj ter biti nujno umeščena v zgodovinski in socialni kontekst, kar preprečuje izolacijo učenja od realnega življenja (Dewey, 1938; Smith, 2001).</w:t>
      </w:r>
    </w:p>
    <w:p w14:paraId="56E850C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Vzporedno z Deweyjem je na razvoj področja vplival Kurt Lewin, čigar delo v socialni psihologiji je postavilo temelje za razumevanje skupinske dinamike in akcijskega raziskovanja (</w:t>
      </w:r>
      <w:r w:rsidRPr="00B92478">
        <w:rPr>
          <w:rFonts w:ascii="Times New Roman" w:eastAsia="Times New Roman" w:hAnsi="Times New Roman" w:cs="Times New Roman"/>
          <w:i/>
          <w:iCs/>
          <w:kern w:val="0"/>
          <w:lang w:eastAsia="en-GB"/>
          <w14:ligatures w14:val="none"/>
        </w:rPr>
        <w:t>action research</w:t>
      </w:r>
      <w:r w:rsidRPr="00B92478">
        <w:rPr>
          <w:rFonts w:ascii="Times New Roman" w:eastAsia="Times New Roman" w:hAnsi="Times New Roman" w:cs="Times New Roman"/>
          <w:kern w:val="0"/>
          <w:lang w:eastAsia="en-GB"/>
          <w14:ligatures w14:val="none"/>
        </w:rPr>
        <w:t>) (Smith, 2001). Lewin je bil pionir uporabe raziskovanja za reševanje konkretnih socialnih problemov, njegovo delo na področju skupinske dinamike pa je vodilo do formiranja 'T' skupin in ustanovitve Nacionalnih laboratorijev za usposabljanje (</w:t>
      </w:r>
      <w:r w:rsidRPr="00B92478">
        <w:rPr>
          <w:rFonts w:ascii="Times New Roman" w:eastAsia="Times New Roman" w:hAnsi="Times New Roman" w:cs="Times New Roman"/>
          <w:i/>
          <w:iCs/>
          <w:kern w:val="0"/>
          <w:lang w:eastAsia="en-GB"/>
          <w14:ligatures w14:val="none"/>
        </w:rPr>
        <w:t>National Training Laboratories</w:t>
      </w:r>
      <w:r w:rsidRPr="00B92478">
        <w:rPr>
          <w:rFonts w:ascii="Times New Roman" w:eastAsia="Times New Roman" w:hAnsi="Times New Roman" w:cs="Times New Roman"/>
          <w:kern w:val="0"/>
          <w:lang w:eastAsia="en-GB"/>
          <w14:ligatures w14:val="none"/>
        </w:rPr>
        <w:t>). Ti eksperimenti predstavljajo ključen zgodovinski temelj za kasnejše strukturirane aplikacije izkustvenega učenja v profesionalnem razvoju (Smith, 2001).</w:t>
      </w:r>
    </w:p>
    <w:p w14:paraId="2970823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Sintezo teh filozofskih in psiholoških spoznanj je v koherenten model prelil David A. Kolb (1984), ki je razvil danes prevladujočo konceptualizacijo izkustvenega učenja, še posebej prisotno na področju učenja s služenjem (</w:t>
      </w:r>
      <w:r w:rsidRPr="00B92478">
        <w:rPr>
          <w:rFonts w:ascii="Times New Roman" w:eastAsia="Times New Roman" w:hAnsi="Times New Roman" w:cs="Times New Roman"/>
          <w:i/>
          <w:iCs/>
          <w:kern w:val="0"/>
          <w:lang w:eastAsia="en-GB"/>
          <w14:ligatures w14:val="none"/>
        </w:rPr>
        <w:t>service-learning</w:t>
      </w:r>
      <w:r w:rsidRPr="00B92478">
        <w:rPr>
          <w:rFonts w:ascii="Times New Roman" w:eastAsia="Times New Roman" w:hAnsi="Times New Roman" w:cs="Times New Roman"/>
          <w:kern w:val="0"/>
          <w:lang w:eastAsia="en-GB"/>
          <w14:ligatures w14:val="none"/>
        </w:rPr>
        <w:t>) (Kiely, 2005; Kolb, 1984; Schwehm idr., 2017). Kolb učenje definira kot integriran, ciklični proces učenja, razvoja in sprememb, pri čemer poudarja, da se učinkovito učenje zgodi le takrat, ko je učenec sposoben v celoti izvesti vse štiri medsebojno povezane faze cikla (Kolb, 1984). Te faze si sledijo v logičnem zaporedju (Kolb, 1984; Experiential Learning Institute, 2020; UoPeople, 2025; Cheng idr., 2025):</w:t>
      </w:r>
    </w:p>
    <w:p w14:paraId="5C416016" w14:textId="77777777" w:rsidR="00B92478" w:rsidRPr="00B92478" w:rsidRDefault="00B92478" w:rsidP="00B9247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Konkretna Izkušnja (Concrete Experience – CE):</w:t>
      </w:r>
      <w:r w:rsidRPr="00B92478">
        <w:rPr>
          <w:rFonts w:ascii="Times New Roman" w:eastAsia="Times New Roman" w:hAnsi="Times New Roman" w:cs="Times New Roman"/>
          <w:kern w:val="0"/>
          <w:lang w:eastAsia="en-GB"/>
          <w14:ligatures w14:val="none"/>
        </w:rPr>
        <w:t> Faza "Občutenja" (</w:t>
      </w:r>
      <w:r w:rsidRPr="00B92478">
        <w:rPr>
          <w:rFonts w:ascii="Times New Roman" w:eastAsia="Times New Roman" w:hAnsi="Times New Roman" w:cs="Times New Roman"/>
          <w:i/>
          <w:iCs/>
          <w:kern w:val="0"/>
          <w:lang w:eastAsia="en-GB"/>
          <w14:ligatures w14:val="none"/>
        </w:rPr>
        <w:t>Experiencing</w:t>
      </w:r>
      <w:r w:rsidRPr="00B92478">
        <w:rPr>
          <w:rFonts w:ascii="Times New Roman" w:eastAsia="Times New Roman" w:hAnsi="Times New Roman" w:cs="Times New Roman"/>
          <w:kern w:val="0"/>
          <w:lang w:eastAsia="en-GB"/>
          <w14:ligatures w14:val="none"/>
        </w:rPr>
        <w:t>), kjer se učni proces začne z neposrednim srečanjem ali aktivno udeležbo v novi situaciji, ki nudi material za nadaljnjo obdelavo (Experiential Learning Institute, 2020; UoPeople, 2025).</w:t>
      </w:r>
    </w:p>
    <w:p w14:paraId="5310047B" w14:textId="77777777" w:rsidR="00B92478" w:rsidRPr="00B92478" w:rsidRDefault="00B92478" w:rsidP="00B9247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Refleksivno Opazovanje (Reflective Observation – RO):</w:t>
      </w:r>
      <w:r w:rsidRPr="00B92478">
        <w:rPr>
          <w:rFonts w:ascii="Times New Roman" w:eastAsia="Times New Roman" w:hAnsi="Times New Roman" w:cs="Times New Roman"/>
          <w:kern w:val="0"/>
          <w:lang w:eastAsia="en-GB"/>
          <w14:ligatures w14:val="none"/>
        </w:rPr>
        <w:t> Faza "Reflektiranja" (</w:t>
      </w:r>
      <w:r w:rsidRPr="00B92478">
        <w:rPr>
          <w:rFonts w:ascii="Times New Roman" w:eastAsia="Times New Roman" w:hAnsi="Times New Roman" w:cs="Times New Roman"/>
          <w:i/>
          <w:iCs/>
          <w:kern w:val="0"/>
          <w:lang w:eastAsia="en-GB"/>
          <w14:ligatures w14:val="none"/>
        </w:rPr>
        <w:t>Reflecting</w:t>
      </w:r>
      <w:r w:rsidRPr="00B92478">
        <w:rPr>
          <w:rFonts w:ascii="Times New Roman" w:eastAsia="Times New Roman" w:hAnsi="Times New Roman" w:cs="Times New Roman"/>
          <w:kern w:val="0"/>
          <w:lang w:eastAsia="en-GB"/>
          <w14:ligatures w14:val="none"/>
        </w:rPr>
        <w:t>), v kateri subjekt opazuje, analizira in razmišlja o dogodku. Ključno je povezovanje občutkov z idejami in zaznavanje morebitnih diskrepanc med izkušnjo in obstoječim razumevanjem (Experiential Learning Institute, 2020; UoPeople, 2025).</w:t>
      </w:r>
    </w:p>
    <w:p w14:paraId="2888D061" w14:textId="77777777" w:rsidR="00B92478" w:rsidRPr="00B92478" w:rsidRDefault="00B92478" w:rsidP="00B9247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lastRenderedPageBreak/>
        <w:t>Abstraktna Konceptualizacija (Abstract Conceptualization – AC):</w:t>
      </w:r>
      <w:r w:rsidRPr="00B92478">
        <w:rPr>
          <w:rFonts w:ascii="Times New Roman" w:eastAsia="Times New Roman" w:hAnsi="Times New Roman" w:cs="Times New Roman"/>
          <w:kern w:val="0"/>
          <w:lang w:eastAsia="en-GB"/>
          <w14:ligatures w14:val="none"/>
        </w:rPr>
        <w:t> Faza "Mišljenja" (</w:t>
      </w:r>
      <w:r w:rsidRPr="00B92478">
        <w:rPr>
          <w:rFonts w:ascii="Times New Roman" w:eastAsia="Times New Roman" w:hAnsi="Times New Roman" w:cs="Times New Roman"/>
          <w:i/>
          <w:iCs/>
          <w:kern w:val="0"/>
          <w:lang w:eastAsia="en-GB"/>
          <w14:ligatures w14:val="none"/>
        </w:rPr>
        <w:t>Thinking</w:t>
      </w:r>
      <w:r w:rsidRPr="00B92478">
        <w:rPr>
          <w:rFonts w:ascii="Times New Roman" w:eastAsia="Times New Roman" w:hAnsi="Times New Roman" w:cs="Times New Roman"/>
          <w:kern w:val="0"/>
          <w:lang w:eastAsia="en-GB"/>
          <w14:ligatures w14:val="none"/>
        </w:rPr>
        <w:t>), kjer refleksija vodi do oblikovanja novih idej, teorij, konceptov ali splošnih principov. Tu se partikularne izkušnje integrirajo v koherenten kognitivni okvir (UoPeople, 2025; Experiential Learning Institute, 2020).</w:t>
      </w:r>
    </w:p>
    <w:p w14:paraId="23AEF015" w14:textId="77777777" w:rsidR="00B92478" w:rsidRPr="00B92478" w:rsidRDefault="00B92478" w:rsidP="00B92478">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Aktivno Eksperimentiranje (Active Experimentation – AE):</w:t>
      </w:r>
      <w:r w:rsidRPr="00B92478">
        <w:rPr>
          <w:rFonts w:ascii="Times New Roman" w:eastAsia="Times New Roman" w:hAnsi="Times New Roman" w:cs="Times New Roman"/>
          <w:kern w:val="0"/>
          <w:lang w:eastAsia="en-GB"/>
          <w14:ligatures w14:val="none"/>
        </w:rPr>
        <w:t> Faza "Delovanja" (</w:t>
      </w:r>
      <w:r w:rsidRPr="00B92478">
        <w:rPr>
          <w:rFonts w:ascii="Times New Roman" w:eastAsia="Times New Roman" w:hAnsi="Times New Roman" w:cs="Times New Roman"/>
          <w:i/>
          <w:iCs/>
          <w:kern w:val="0"/>
          <w:lang w:eastAsia="en-GB"/>
          <w14:ligatures w14:val="none"/>
        </w:rPr>
        <w:t>Acting</w:t>
      </w:r>
      <w:r w:rsidRPr="00B92478">
        <w:rPr>
          <w:rFonts w:ascii="Times New Roman" w:eastAsia="Times New Roman" w:hAnsi="Times New Roman" w:cs="Times New Roman"/>
          <w:kern w:val="0"/>
          <w:lang w:eastAsia="en-GB"/>
          <w14:ligatures w14:val="none"/>
        </w:rPr>
        <w:t>), v kateri se preizkušajo teorije ali novi koncepti, pridobljeni v prejšnji fazi, z aplikacijo naučenega v realnem svetu. To dejanje generira novo konkretno izkušnjo, s čimer se cikel ponovi (UoPeople, 2025; Experiential Learning Institute, 2020).</w:t>
      </w:r>
    </w:p>
    <w:p w14:paraId="093D1D1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Kljub prevladi Kolbovega modela v akademskem diskurzu, je ta deležen določenih kritik, ki opozarjajo na njegovo poenostavljanje kompleksnosti realnega sveta. Kritiki trdijo, da model ne zajema učenja v realnosti, ki je pogosto bolj fragmentirano in kaotično od štirih jasno definiranih zaporednih faz (Yardley idr., 2012; Webb, 2004, v Gazdula in Evans, 2021). Procesi se lahko v praksi odvijajo simultano, posamezne faze pa se lahko preskočijo (Forrest, 2012, v Gazdula in Evans, 2021). Še ostrejša kritika označuje model za anahronističnega, saj je bil razvit na podlagi omejene raziskovalne baze in morda ne ustreza več popolnoma sodobnemu kontekstu (Gazdula in Evans, 2021). Zlasti vprašljiva je njegova primernost za opis neformalnega učenja v hitrem delovnem okolju, kjer uporaba "družbeno bogatih interaktivnih digitalnih medijev" ustvarja pogoje za učenje, ki je pogosto oportunistično in singularno (Wheeler, 2012, v Gazdula in Evans, 2021). V takšnih okoljih umanjka priložnost za popolno refleksijo in revizijo, kar omejuje ustreznost strogo cikličnega pristopa (Gazdula in Evans, 2021).</w:t>
      </w:r>
    </w:p>
    <w:p w14:paraId="08929FF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2.2. Andragoška paradigma in njena konvergenca z izkustvenim učenjem</w:t>
      </w:r>
    </w:p>
    <w:p w14:paraId="7C0F12E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 razumevanje učinkovitosti izkustvenega učenja pri odraslih je nujna njegova umestitev v okvir andragogije. Izraz, ki ga je sicer leta 1833 prvi uporabil Alexander Kapp, je v sodobni znanosti populariziral Malcolm Knowles (1984), ki andragogijo definira kot umetnost in znanost pomoči odraslim pri učenju (Pappas, 2025; Mukhalalati in Taylor, 2019). Knowlesov model temelji na identifikaciji petih (kasneje šestih) ključnih predpostavk o odraslih učencih, ki andragogijo kvalitativno razlikujejo od pedagogike (Knowles, 1981, 1984; Pappas, 2025; Mukhalalati in Taylor, 2019):</w:t>
      </w:r>
    </w:p>
    <w:p w14:paraId="6954274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Prvič, </w:t>
      </w:r>
      <w:r w:rsidRPr="00B92478">
        <w:rPr>
          <w:rFonts w:ascii="Times New Roman" w:eastAsia="Times New Roman" w:hAnsi="Times New Roman" w:cs="Times New Roman"/>
          <w:b/>
          <w:bCs/>
          <w:kern w:val="0"/>
          <w:lang w:eastAsia="en-GB"/>
          <w14:ligatures w14:val="none"/>
        </w:rPr>
        <w:t>Samousmerjenost (</w:t>
      </w:r>
      <w:r w:rsidRPr="00B92478">
        <w:rPr>
          <w:rFonts w:ascii="Times New Roman" w:eastAsia="Times New Roman" w:hAnsi="Times New Roman" w:cs="Times New Roman"/>
          <w:b/>
          <w:bCs/>
          <w:i/>
          <w:iCs/>
          <w:kern w:val="0"/>
          <w:lang w:eastAsia="en-GB"/>
          <w14:ligatures w14:val="none"/>
        </w:rPr>
        <w:t>Self-Concept</w:t>
      </w: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Odrasli se ontološko premikajo od odvisnosti k večji samostojnosti in samovodenju. Kažejo močno preferenco po prevzemanju nadzora nad procesom učenja ter želijo sami odločati o vsebini, načinu in tempu izobraževanja (Pappas, 2025; Knowles, 1981; Park University, 2025).</w:t>
      </w:r>
    </w:p>
    <w:p w14:paraId="5C733A5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Drugič, </w:t>
      </w:r>
      <w:r w:rsidRPr="00B92478">
        <w:rPr>
          <w:rFonts w:ascii="Times New Roman" w:eastAsia="Times New Roman" w:hAnsi="Times New Roman" w:cs="Times New Roman"/>
          <w:b/>
          <w:bCs/>
          <w:kern w:val="0"/>
          <w:lang w:eastAsia="en-GB"/>
          <w14:ligatures w14:val="none"/>
        </w:rPr>
        <w:t>Izkoriščanje Izkušenj (</w:t>
      </w:r>
      <w:r w:rsidRPr="00B92478">
        <w:rPr>
          <w:rFonts w:ascii="Times New Roman" w:eastAsia="Times New Roman" w:hAnsi="Times New Roman" w:cs="Times New Roman"/>
          <w:b/>
          <w:bCs/>
          <w:i/>
          <w:iCs/>
          <w:kern w:val="0"/>
          <w:lang w:eastAsia="en-GB"/>
          <w14:ligatures w14:val="none"/>
        </w:rPr>
        <w:t>Learner Experience</w:t>
      </w: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Odrasli v učni proces prinašajo bogato zalogo osebnih in poklicnih izkušenj. Te izkušnje niso zgolj podlaga, temveč dragocen vir za učenje in refleksijo, ki oblikuje percepcijo in integracijo novih informacij (Pappas, 2025; Knowles, 1981; Park University, 2025; Merriam in Caffarella, 1999, v Falasca, 2011).</w:t>
      </w:r>
    </w:p>
    <w:p w14:paraId="4B91DEE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Tretjič, </w:t>
      </w:r>
      <w:r w:rsidRPr="00B92478">
        <w:rPr>
          <w:rFonts w:ascii="Times New Roman" w:eastAsia="Times New Roman" w:hAnsi="Times New Roman" w:cs="Times New Roman"/>
          <w:b/>
          <w:bCs/>
          <w:kern w:val="0"/>
          <w:lang w:eastAsia="en-GB"/>
          <w14:ligatures w14:val="none"/>
        </w:rPr>
        <w:t>Pripravljenost za Učenje (</w:t>
      </w:r>
      <w:r w:rsidRPr="00B92478">
        <w:rPr>
          <w:rFonts w:ascii="Times New Roman" w:eastAsia="Times New Roman" w:hAnsi="Times New Roman" w:cs="Times New Roman"/>
          <w:b/>
          <w:bCs/>
          <w:i/>
          <w:iCs/>
          <w:kern w:val="0"/>
          <w:lang w:eastAsia="en-GB"/>
          <w14:ligatures w14:val="none"/>
        </w:rPr>
        <w:t>Readiness to Learn</w:t>
      </w: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Pripravljenost odraslih na učenje ni vezana na biološko zorenje, temveč na njihove socialne vloge in razvojne naloge. Najbolj so dovzetni za učenje tistih vsebin, ki so neposredno relevantne za njihovo delovanje v družbi in na delovnem mestu (Pappas, 2025; Knowles, 1981).</w:t>
      </w:r>
    </w:p>
    <w:p w14:paraId="3620AF0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Četrtič, </w:t>
      </w:r>
      <w:r w:rsidRPr="00B92478">
        <w:rPr>
          <w:rFonts w:ascii="Times New Roman" w:eastAsia="Times New Roman" w:hAnsi="Times New Roman" w:cs="Times New Roman"/>
          <w:b/>
          <w:bCs/>
          <w:kern w:val="0"/>
          <w:lang w:eastAsia="en-GB"/>
          <w14:ligatures w14:val="none"/>
        </w:rPr>
        <w:t>Orientacija k Problemu (</w:t>
      </w:r>
      <w:r w:rsidRPr="00B92478">
        <w:rPr>
          <w:rFonts w:ascii="Times New Roman" w:eastAsia="Times New Roman" w:hAnsi="Times New Roman" w:cs="Times New Roman"/>
          <w:b/>
          <w:bCs/>
          <w:i/>
          <w:iCs/>
          <w:kern w:val="0"/>
          <w:lang w:eastAsia="en-GB"/>
          <w14:ligatures w14:val="none"/>
        </w:rPr>
        <w:t>Orientation to Learning</w:t>
      </w: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Odrasli so v svoji učni orientaciji usmerjeni k reševanju problemov (</w:t>
      </w:r>
      <w:r w:rsidRPr="00B92478">
        <w:rPr>
          <w:rFonts w:ascii="Times New Roman" w:eastAsia="Times New Roman" w:hAnsi="Times New Roman" w:cs="Times New Roman"/>
          <w:i/>
          <w:iCs/>
          <w:kern w:val="0"/>
          <w:lang w:eastAsia="en-GB"/>
          <w14:ligatures w14:val="none"/>
        </w:rPr>
        <w:t>problem-centered</w:t>
      </w:r>
      <w:r w:rsidRPr="00B92478">
        <w:rPr>
          <w:rFonts w:ascii="Times New Roman" w:eastAsia="Times New Roman" w:hAnsi="Times New Roman" w:cs="Times New Roman"/>
          <w:kern w:val="0"/>
          <w:lang w:eastAsia="en-GB"/>
          <w14:ligatures w14:val="none"/>
        </w:rPr>
        <w:t xml:space="preserve">) in ne k osvajanju predmetnih </w:t>
      </w:r>
      <w:r w:rsidRPr="00B92478">
        <w:rPr>
          <w:rFonts w:ascii="Times New Roman" w:eastAsia="Times New Roman" w:hAnsi="Times New Roman" w:cs="Times New Roman"/>
          <w:kern w:val="0"/>
          <w:lang w:eastAsia="en-GB"/>
          <w14:ligatures w14:val="none"/>
        </w:rPr>
        <w:lastRenderedPageBreak/>
        <w:t>vsebin (</w:t>
      </w:r>
      <w:r w:rsidRPr="00B92478">
        <w:rPr>
          <w:rFonts w:ascii="Times New Roman" w:eastAsia="Times New Roman" w:hAnsi="Times New Roman" w:cs="Times New Roman"/>
          <w:i/>
          <w:iCs/>
          <w:kern w:val="0"/>
          <w:lang w:eastAsia="en-GB"/>
          <w14:ligatures w14:val="none"/>
        </w:rPr>
        <w:t>subject-centered</w:t>
      </w:r>
      <w:r w:rsidRPr="00B92478">
        <w:rPr>
          <w:rFonts w:ascii="Times New Roman" w:eastAsia="Times New Roman" w:hAnsi="Times New Roman" w:cs="Times New Roman"/>
          <w:kern w:val="0"/>
          <w:lang w:eastAsia="en-GB"/>
          <w14:ligatures w14:val="none"/>
        </w:rPr>
        <w:t>). Motivirani so za učenje v obsegu, ki jim pomaga pri spopadanju s konkretnimi življenjskimi izzivi, zato iščejo takojšnjo aplikacijo znanja (Knowles, 1981; Pappas, 2025; Park University, 2025).</w:t>
      </w:r>
    </w:p>
    <w:p w14:paraId="1EE6EC4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Petič, </w:t>
      </w:r>
      <w:r w:rsidRPr="00B92478">
        <w:rPr>
          <w:rFonts w:ascii="Times New Roman" w:eastAsia="Times New Roman" w:hAnsi="Times New Roman" w:cs="Times New Roman"/>
          <w:b/>
          <w:bCs/>
          <w:kern w:val="0"/>
          <w:lang w:eastAsia="en-GB"/>
          <w14:ligatures w14:val="none"/>
        </w:rPr>
        <w:t>Notranja Motivacija (</w:t>
      </w:r>
      <w:r w:rsidRPr="00B92478">
        <w:rPr>
          <w:rFonts w:ascii="Times New Roman" w:eastAsia="Times New Roman" w:hAnsi="Times New Roman" w:cs="Times New Roman"/>
          <w:b/>
          <w:bCs/>
          <w:i/>
          <w:iCs/>
          <w:kern w:val="0"/>
          <w:lang w:eastAsia="en-GB"/>
          <w14:ligatures w14:val="none"/>
        </w:rPr>
        <w:t>Motivation to Learn</w:t>
      </w: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Medtem ko pri otrocih prevladujejo zunanji motivatorji (ocene), odrasle poganja predvsem notranja motivacija, kot so želja po samoizboljšanju, razvoju samozavesti, samoaktualizaciji ali kariernem napredovanju (Pappas, 2025; Knowles, 1981).</w:t>
      </w:r>
    </w:p>
    <w:p w14:paraId="1C03C9C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Šestič, </w:t>
      </w:r>
      <w:r w:rsidRPr="00B92478">
        <w:rPr>
          <w:rFonts w:ascii="Times New Roman" w:eastAsia="Times New Roman" w:hAnsi="Times New Roman" w:cs="Times New Roman"/>
          <w:b/>
          <w:bCs/>
          <w:kern w:val="0"/>
          <w:lang w:eastAsia="en-GB"/>
          <w14:ligatures w14:val="none"/>
        </w:rPr>
        <w:t>Potreba po Razumevanju Namena (</w:t>
      </w:r>
      <w:r w:rsidRPr="00B92478">
        <w:rPr>
          <w:rFonts w:ascii="Times New Roman" w:eastAsia="Times New Roman" w:hAnsi="Times New Roman" w:cs="Times New Roman"/>
          <w:b/>
          <w:bCs/>
          <w:i/>
          <w:iCs/>
          <w:kern w:val="0"/>
          <w:lang w:eastAsia="en-GB"/>
          <w14:ligatures w14:val="none"/>
        </w:rPr>
        <w:t>Need to Know</w:t>
      </w: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Preden se odrasli angažirajo v učenju, morajo razumeti razloge, zakaj je določeno znanje zanje potrebno in kakšno vrednost jim prinaša (Knowles, 1981; Pappas, 2025).</w:t>
      </w:r>
    </w:p>
    <w:p w14:paraId="586154B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Konvergentnost med Kolbovim ELT in Knowlesovo andragogijo je izjemno močna in nudi trdno teoretično podlago za aplikacijo EL v izobraževanju odraslih (Schwehm idr., 2017). Izkustveno učenje je po svoji naravi "odraslo-centričen" (</w:t>
      </w:r>
      <w:r w:rsidRPr="00B92478">
        <w:rPr>
          <w:rFonts w:ascii="Times New Roman" w:eastAsia="Times New Roman" w:hAnsi="Times New Roman" w:cs="Times New Roman"/>
          <w:i/>
          <w:iCs/>
          <w:kern w:val="0"/>
          <w:lang w:eastAsia="en-GB"/>
          <w14:ligatures w14:val="none"/>
        </w:rPr>
        <w:t>adult-centric</w:t>
      </w:r>
      <w:r w:rsidRPr="00B92478">
        <w:rPr>
          <w:rFonts w:ascii="Times New Roman" w:eastAsia="Times New Roman" w:hAnsi="Times New Roman" w:cs="Times New Roman"/>
          <w:kern w:val="0"/>
          <w:lang w:eastAsia="en-GB"/>
          <w14:ligatures w14:val="none"/>
        </w:rPr>
        <w:t>) pristop, saj eksplicitno povezuje akademsko vsebino z življenjskimi izkušnjami in praktično aplikacijo (Schwehm idr., 2017). Izobraževanje za odrasle namreč zahteva aktivno participacijo in povezavo s celoto učenčevih življenjskih izkušenj (Knowles, 1984, v Schwehm idr., 2017). Nadalje se Knowlesova predpostavka o problemski orientiranosti neposredno ujema s fazo Aktivnega Eksperimentiranja (AE) v Kolbovem ciklu, ki poudarja preizkušanje teorij pri reševanju realnih problemov (Park University, 2025). Integracija teh dveh teoretskih sistemov ustvarja pogoje za učne izide, ki so ključni za uspeh odraslih: aplikacijo znanja v realnem svetu, povečano akademsko samozavest (</w:t>
      </w:r>
      <w:r w:rsidRPr="00B92478">
        <w:rPr>
          <w:rFonts w:ascii="Times New Roman" w:eastAsia="Times New Roman" w:hAnsi="Times New Roman" w:cs="Times New Roman"/>
          <w:i/>
          <w:iCs/>
          <w:kern w:val="0"/>
          <w:lang w:eastAsia="en-GB"/>
          <w14:ligatures w14:val="none"/>
        </w:rPr>
        <w:t>self-efficacy</w:t>
      </w:r>
      <w:r w:rsidRPr="00B92478">
        <w:rPr>
          <w:rFonts w:ascii="Times New Roman" w:eastAsia="Times New Roman" w:hAnsi="Times New Roman" w:cs="Times New Roman"/>
          <w:kern w:val="0"/>
          <w:lang w:eastAsia="en-GB"/>
          <w14:ligatures w14:val="none"/>
        </w:rPr>
        <w:t>) in občutek pripadnosti (</w:t>
      </w:r>
      <w:r w:rsidRPr="00B92478">
        <w:rPr>
          <w:rFonts w:ascii="Times New Roman" w:eastAsia="Times New Roman" w:hAnsi="Times New Roman" w:cs="Times New Roman"/>
          <w:i/>
          <w:iCs/>
          <w:kern w:val="0"/>
          <w:lang w:eastAsia="en-GB"/>
          <w14:ligatures w14:val="none"/>
        </w:rPr>
        <w:t>sense of belonging</w:t>
      </w:r>
      <w:r w:rsidRPr="00B92478">
        <w:rPr>
          <w:rFonts w:ascii="Times New Roman" w:eastAsia="Times New Roman" w:hAnsi="Times New Roman" w:cs="Times New Roman"/>
          <w:kern w:val="0"/>
          <w:lang w:eastAsia="en-GB"/>
          <w14:ligatures w14:val="none"/>
        </w:rPr>
        <w:t>), kar so kritični dejavniki pri odločanju odraslih študentov za vztrajanje pri študiju (Bean in Metzner, 1985; Bringle idr., 2010, v Schwehm idr., 2017).</w:t>
      </w:r>
    </w:p>
    <w:p w14:paraId="28FB3CB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2.3. Akcijsko učenje kot specifična strategija reševanja problemov</w:t>
      </w:r>
    </w:p>
    <w:p w14:paraId="4954B1E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Znotraj širokega polja izkustvenega učenja posebno mesto zavzema Akcijsko učenje (Action Learning – AL), ki ga lahko razumemo kot operativno udejanjenje andragoških principov. Gre za problemsko-reševalno strategijo in izkustveni pristop, ki izhaja iz dela Reginalda Revansa (Action Learning Associates, b. d.; Revans, 1940, v Sahni in Chilton, 2025). Osnovna ideja AL temelji na učenju z delovanjem znotraj majhnih skupin, ki obravnavajo realne organizacijske ali družbene probleme, izvedejo ukrepe (</w:t>
      </w:r>
      <w:r w:rsidRPr="00B92478">
        <w:rPr>
          <w:rFonts w:ascii="Times New Roman" w:eastAsia="Times New Roman" w:hAnsi="Times New Roman" w:cs="Times New Roman"/>
          <w:i/>
          <w:iCs/>
          <w:kern w:val="0"/>
          <w:lang w:eastAsia="en-GB"/>
          <w14:ligatures w14:val="none"/>
        </w:rPr>
        <w:t>action</w:t>
      </w:r>
      <w:r w:rsidRPr="00B92478">
        <w:rPr>
          <w:rFonts w:ascii="Times New Roman" w:eastAsia="Times New Roman" w:hAnsi="Times New Roman" w:cs="Times New Roman"/>
          <w:kern w:val="0"/>
          <w:lang w:eastAsia="en-GB"/>
          <w14:ligatures w14:val="none"/>
        </w:rPr>
        <w:t>) in se nato reflektivno učijo iz procesa in rezultatov (Action Learning Associates, b. d.).</w:t>
      </w:r>
    </w:p>
    <w:p w14:paraId="51392BE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Revans je proces akcijskega učenja formaliziral s formulo: </w:t>
      </w:r>
      <w:r w:rsidRPr="00B92478">
        <w:rPr>
          <w:rFonts w:ascii="Times New Roman" w:eastAsia="Times New Roman" w:hAnsi="Times New Roman" w:cs="Times New Roman"/>
          <w:b/>
          <w:bCs/>
          <w:kern w:val="0"/>
          <w:lang w:eastAsia="en-GB"/>
          <w14:ligatures w14:val="none"/>
        </w:rPr>
        <w:t>Učenje = Programirano Znanje + Vprašanja (</w:t>
      </w:r>
    </w:p>
    <w:p w14:paraId="19561FFA" w14:textId="77777777" w:rsidR="00B92478" w:rsidRPr="00B92478" w:rsidRDefault="00B92478" w:rsidP="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lang w:eastAsia="en-GB"/>
          <w14:ligatures w14:val="none"/>
        </w:rPr>
      </w:pPr>
      <w:r w:rsidRPr="00B92478">
        <w:rPr>
          <w:rFonts w:ascii="Courier New" w:eastAsia="Times New Roman" w:hAnsi="Courier New" w:cs="Courier New"/>
          <w:b/>
          <w:bCs/>
          <w:kern w:val="0"/>
          <w:sz w:val="20"/>
          <w:szCs w:val="20"/>
          <w:lang w:eastAsia="en-GB"/>
          <w14:ligatures w14:val="none"/>
        </w:rPr>
        <w:t xml:space="preserve">        </w:t>
      </w:r>
      <m:oMath>
        <m:r>
          <w:rPr>
            <w:rFonts w:ascii="Cambria Math" w:eastAsia="Times New Roman" w:hAnsi="Cambria Math" w:cs="Courier New"/>
            <w:kern w:val="0"/>
            <w:sz w:val="20"/>
            <w:szCs w:val="20"/>
            <w:lang w:eastAsia="en-GB"/>
            <w14:ligatures w14:val="none"/>
          </w:rPr>
          <m:t>L=P+Q</m:t>
        </m:r>
      </m:oMath>
    </w:p>
    <w:p w14:paraId="1815723E" w14:textId="77777777" w:rsidR="00B92478" w:rsidRPr="00B92478" w:rsidRDefault="00B92478" w:rsidP="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92478">
        <w:rPr>
          <w:rFonts w:ascii="Courier New" w:eastAsia="Times New Roman" w:hAnsi="Courier New" w:cs="Courier New"/>
          <w:b/>
          <w:bCs/>
          <w:kern w:val="0"/>
          <w:sz w:val="20"/>
          <w:szCs w:val="20"/>
          <w:lang w:eastAsia="en-GB"/>
          <w14:ligatures w14:val="none"/>
        </w:rPr>
        <w:t xml:space="preserve">      </w:t>
      </w:r>
    </w:p>
    <w:p w14:paraId="09CC85C0" w14:textId="06325E37" w:rsidR="00B92478" w:rsidRDefault="00B92478" w:rsidP="00B92478">
      <w:pPr>
        <w:spacing w:after="0"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xml:space="preserve"> (Revans, 1984, v Action Learning Associates, b. d.). Ta enačba poudarja, da zgolj obstoječe, kodificirano znanje (P) ne zadošča za reševanje kompleksnih problemov. Ključni komponenti sta postavljanje prodornih vprašanj (Q) za razjasnitev natančne narave problema in iskanje novega znanja (Revans, 2012, v Action Learning Associates, b. d.). Temeljita linija spraševanja v tem kontekstu ni pomembna le za dekonstrukcijo problema, temveč je konstitutivni del učnega in reflektivnega procesa (Adams, 2010; IFALOfficial, 2012, v Action Learning Associates, b. d.). Sodelovanje v AL tako neposredno razvija bistvene kognitivne in socialne veščine, kot so kritično mišljenje, sposobnost sistematičnega </w:t>
      </w:r>
      <w:r w:rsidRPr="00B92478">
        <w:rPr>
          <w:rFonts w:ascii="Times New Roman" w:eastAsia="Times New Roman" w:hAnsi="Times New Roman" w:cs="Times New Roman"/>
          <w:kern w:val="0"/>
          <w:lang w:eastAsia="en-GB"/>
          <w14:ligatures w14:val="none"/>
        </w:rPr>
        <w:lastRenderedPageBreak/>
        <w:t>spraševanja in reflektivno poslušanje (Action Learning Associates, b. d.), kar potrjuje njegovo vrednost kot visoko razvite oblike izkustvenega učenja.</w:t>
      </w:r>
    </w:p>
    <w:p w14:paraId="5555095E" w14:textId="77777777" w:rsidR="00B92478" w:rsidRDefault="00B9247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79E890E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lastRenderedPageBreak/>
        <w:t>3. Metodološki pluralizem in implementacija v praksi</w:t>
      </w:r>
    </w:p>
    <w:p w14:paraId="6A0B40C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Teoretična utemeljitev izkustvenega učenja, predstavljena v predhodnem poglavju, se v andragoški praksi operacionalizira skozi raznolik spekter aktivnih metodologij. Te strategije neposredno nagovarjajo specifične potrebe odraslih učencev, zlasti njihovo intrinzično usmerjenost k reševanju problemov in zahtevo po takojšnji aplikaciji pridobljenega znanja (Park University, 2025). V tem poglavju analiziramo ključne izkustvene metode, ki segajo od strukturiranega učenja s služenjem skupnosti do kolaborativnih strategij reševanja problemov in uporabe naprednih simulacijskih tehnik.</w:t>
      </w:r>
    </w:p>
    <w:p w14:paraId="4CC2381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3.1. Učenje s služenjem skupnosti in digitalna transformacija</w:t>
      </w:r>
    </w:p>
    <w:p w14:paraId="51EDA91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Ena najbolj uveljavljenih oblik izkustvenega učenja, ki se uspešno implementira na vseh ravneh izobraževanja, je učenje s služenjem skupnosti (</w:t>
      </w:r>
      <w:r w:rsidRPr="00B92478">
        <w:rPr>
          <w:rFonts w:ascii="Times New Roman" w:eastAsia="Times New Roman" w:hAnsi="Times New Roman" w:cs="Times New Roman"/>
          <w:i/>
          <w:iCs/>
          <w:kern w:val="0"/>
          <w:lang w:eastAsia="en-GB"/>
          <w14:ligatures w14:val="none"/>
        </w:rPr>
        <w:t>Service-Learning</w:t>
      </w:r>
      <w:r w:rsidRPr="00B92478">
        <w:rPr>
          <w:rFonts w:ascii="Times New Roman" w:eastAsia="Times New Roman" w:hAnsi="Times New Roman" w:cs="Times New Roman"/>
          <w:kern w:val="0"/>
          <w:lang w:eastAsia="en-GB"/>
          <w14:ligatures w14:val="none"/>
        </w:rPr>
        <w:t>). Bringle idr. (2006, v Schwehm idr., 2017) ta pristop opredeljujejo kot tečajno in kreditno podprto izobraževalno prizadevanje, ki od študentov zahteva dvoje: aktivno sodelovanje v organizirani dejavnosti služenja skupnosti ter uporabo kritične refleksije za poglobitev razumevanja vsebine tečaja, osebnih vrednot in državljanske odgovornosti. Teoretske korenine tega pristopa segajo neposredno do filozofije Johna Deweyja, ki je poudarjal nujnost povezovanja izobraževalnih procesov s širšim družbenim kontekstom (Giles in Eyler, 1994, v Schwehm idr., 2017).</w:t>
      </w:r>
    </w:p>
    <w:p w14:paraId="257D753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 andragoškega vidika je učenje s služenjem izrazito "odraslo-centričen" (</w:t>
      </w:r>
      <w:r w:rsidRPr="00B92478">
        <w:rPr>
          <w:rFonts w:ascii="Times New Roman" w:eastAsia="Times New Roman" w:hAnsi="Times New Roman" w:cs="Times New Roman"/>
          <w:i/>
          <w:iCs/>
          <w:kern w:val="0"/>
          <w:lang w:eastAsia="en-GB"/>
          <w14:ligatures w14:val="none"/>
        </w:rPr>
        <w:t>adult-centric</w:t>
      </w:r>
      <w:r w:rsidRPr="00B92478">
        <w:rPr>
          <w:rFonts w:ascii="Times New Roman" w:eastAsia="Times New Roman" w:hAnsi="Times New Roman" w:cs="Times New Roman"/>
          <w:kern w:val="0"/>
          <w:lang w:eastAsia="en-GB"/>
          <w14:ligatures w14:val="none"/>
        </w:rPr>
        <w:t>) pristop. Ker odrasli učenci novo znanje kognitivno povezujejo s svojimi preteklimi izkušnjami in trenutnimi življenjskimi vlogami (Donaldson in Graham, 1999; Merriam in Caffarella, 1999; Tweedell, 2000, v Schwehm idr., 2017), ta metoda omogoča edinstveno konvergenco akademske vsebine, življenjske izkušnje in praktične aplikacije. Konceptualni okvir za učenje s služenjem, kot ga navaja Sigmon (1979, v Schwehm idr., 2017), integrira tri ključne komponente: akademski material, ustrezno služenje in kritično refleksijo. Proces vključuje različne partnerje – študente, fakulteto, osebje in člane skupnosti – ter zasleduje trojne učne cilje: državljansko učenje, osebno rast in akademsko učenje (Felton in Clayton, 2011, v Schwehm idr., 2017).</w:t>
      </w:r>
    </w:p>
    <w:p w14:paraId="59064A8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 sodobnem času se zaradi demografskih sprememb, ki kažejo na naraščanje števila odraslih študentov, starejših od 25 let (Ross-Gordon, 2011), in hitre ekspanzije spletnega izobraževanja, uveljavlja model spletnega učenja s služenjem (</w:t>
      </w:r>
      <w:r w:rsidRPr="00B92478">
        <w:rPr>
          <w:rFonts w:ascii="Times New Roman" w:eastAsia="Times New Roman" w:hAnsi="Times New Roman" w:cs="Times New Roman"/>
          <w:i/>
          <w:iCs/>
          <w:kern w:val="0"/>
          <w:lang w:eastAsia="en-GB"/>
          <w14:ligatures w14:val="none"/>
        </w:rPr>
        <w:t>e-service-learning</w:t>
      </w:r>
      <w:r w:rsidRPr="00B92478">
        <w:rPr>
          <w:rFonts w:ascii="Times New Roman" w:eastAsia="Times New Roman" w:hAnsi="Times New Roman" w:cs="Times New Roman"/>
          <w:kern w:val="0"/>
          <w:lang w:eastAsia="en-GB"/>
          <w14:ligatures w14:val="none"/>
        </w:rPr>
        <w:t>). Waldner idr. (2012, v Schwehm idr., 2017, str. 125) ta modalitet opredeljujejo kot tečaj, v katerem sta bodisi poučevalna komponenta (</w:t>
      </w:r>
      <w:r w:rsidRPr="00B92478">
        <w:rPr>
          <w:rFonts w:ascii="Times New Roman" w:eastAsia="Times New Roman" w:hAnsi="Times New Roman" w:cs="Times New Roman"/>
          <w:i/>
          <w:iCs/>
          <w:kern w:val="0"/>
          <w:lang w:eastAsia="en-GB"/>
          <w14:ligatures w14:val="none"/>
        </w:rPr>
        <w:t>instructional component</w:t>
      </w:r>
      <w:r w:rsidRPr="00B92478">
        <w:rPr>
          <w:rFonts w:ascii="Times New Roman" w:eastAsia="Times New Roman" w:hAnsi="Times New Roman" w:cs="Times New Roman"/>
          <w:kern w:val="0"/>
          <w:lang w:eastAsia="en-GB"/>
          <w14:ligatures w14:val="none"/>
        </w:rPr>
        <w:t>), komponenta služenja (</w:t>
      </w:r>
      <w:r w:rsidRPr="00B92478">
        <w:rPr>
          <w:rFonts w:ascii="Times New Roman" w:eastAsia="Times New Roman" w:hAnsi="Times New Roman" w:cs="Times New Roman"/>
          <w:i/>
          <w:iCs/>
          <w:kern w:val="0"/>
          <w:lang w:eastAsia="en-GB"/>
          <w14:ligatures w14:val="none"/>
        </w:rPr>
        <w:t>service component</w:t>
      </w:r>
      <w:r w:rsidRPr="00B92478">
        <w:rPr>
          <w:rFonts w:ascii="Times New Roman" w:eastAsia="Times New Roman" w:hAnsi="Times New Roman" w:cs="Times New Roman"/>
          <w:kern w:val="0"/>
          <w:lang w:eastAsia="en-GB"/>
          <w14:ligatures w14:val="none"/>
        </w:rPr>
        <w:t>) ali obe izvedeni spletno (</w:t>
      </w:r>
      <w:r w:rsidRPr="00B92478">
        <w:rPr>
          <w:rFonts w:ascii="Times New Roman" w:eastAsia="Times New Roman" w:hAnsi="Times New Roman" w:cs="Times New Roman"/>
          <w:i/>
          <w:iCs/>
          <w:kern w:val="0"/>
          <w:lang w:eastAsia="en-GB"/>
          <w14:ligatures w14:val="none"/>
        </w:rPr>
        <w:t>online</w:t>
      </w:r>
      <w:r w:rsidRPr="00B92478">
        <w:rPr>
          <w:rFonts w:ascii="Times New Roman" w:eastAsia="Times New Roman" w:hAnsi="Times New Roman" w:cs="Times New Roman"/>
          <w:kern w:val="0"/>
          <w:lang w:eastAsia="en-GB"/>
          <w14:ligatures w14:val="none"/>
        </w:rPr>
        <w:t>). Razvoj tega modela je ključen z vidika dostopnosti, saj imajo odrasli študenti zaradi kompleksnih urnikov, ki vključujejo preplet akademskih, poklicnih in osebnih obveznosti, pogosto omejen dostop do fizičnih lokacij za opravljanje služenja.</w:t>
      </w:r>
    </w:p>
    <w:p w14:paraId="6165A91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Tipologija e-service-learninga se razteza na kontinuumu od tradicionalnih oblik do popolne virtualizacije. Waldner idr. (2012, v Schwehm idr., 2017) identificirajo spekter, ki sega od hibridnih oblik do "ekstremnega e-service-learninga" (Type IV), kjer sta tako poučevanje kot služenje v celoti spletna. V praksi je najpogosteje uporabljen pristop Type I, ki kombinira fizično služenje s spletnim poučevanjem, kar omogoča fleksibilnost pri refleksiji in teoretski obdelavi, medtem ko ohranja neposreden stik s skupnostjo.</w:t>
      </w:r>
    </w:p>
    <w:p w14:paraId="1415540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3.2. Problemsko orientirane didaktične strategije</w:t>
      </w:r>
    </w:p>
    <w:p w14:paraId="1144E3D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Skladno z andragoško predpostavko, da so odrasli učenci primarno usmerjeni k problemom (Knowles, 1981, v Pappas, 2025), predstavljata Akcijsko učenje (</w:t>
      </w:r>
      <w:r w:rsidRPr="00B92478">
        <w:rPr>
          <w:rFonts w:ascii="Times New Roman" w:eastAsia="Times New Roman" w:hAnsi="Times New Roman" w:cs="Times New Roman"/>
          <w:i/>
          <w:iCs/>
          <w:kern w:val="0"/>
          <w:lang w:eastAsia="en-GB"/>
          <w14:ligatures w14:val="none"/>
        </w:rPr>
        <w:t>Action Learning – AL</w:t>
      </w:r>
      <w:r w:rsidRPr="00B92478">
        <w:rPr>
          <w:rFonts w:ascii="Times New Roman" w:eastAsia="Times New Roman" w:hAnsi="Times New Roman" w:cs="Times New Roman"/>
          <w:kern w:val="0"/>
          <w:lang w:eastAsia="en-GB"/>
          <w14:ligatures w14:val="none"/>
        </w:rPr>
        <w:t>) in Problemsko učenje (</w:t>
      </w:r>
      <w:r w:rsidRPr="00B92478">
        <w:rPr>
          <w:rFonts w:ascii="Times New Roman" w:eastAsia="Times New Roman" w:hAnsi="Times New Roman" w:cs="Times New Roman"/>
          <w:i/>
          <w:iCs/>
          <w:kern w:val="0"/>
          <w:lang w:eastAsia="en-GB"/>
          <w14:ligatures w14:val="none"/>
        </w:rPr>
        <w:t>Problem-Based Learning – PBL</w:t>
      </w:r>
      <w:r w:rsidRPr="00B92478">
        <w:rPr>
          <w:rFonts w:ascii="Times New Roman" w:eastAsia="Times New Roman" w:hAnsi="Times New Roman" w:cs="Times New Roman"/>
          <w:kern w:val="0"/>
          <w:lang w:eastAsia="en-GB"/>
          <w14:ligatures w14:val="none"/>
        </w:rPr>
        <w:t>) temeljni metodi za implementacijo izkustvenih principov.</w:t>
      </w:r>
    </w:p>
    <w:p w14:paraId="1AE46B8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Akcijsko učenje (AL) razumemo kot problemsko-reševalno strategijo, ki uporablja kolektivno modrost majhne skupine za obravnavo realnih problemov. Proces poteka ciklično: skupina analizira problem, izvede konkreten ukrep (</w:t>
      </w:r>
      <w:r w:rsidRPr="00B92478">
        <w:rPr>
          <w:rFonts w:ascii="Times New Roman" w:eastAsia="Times New Roman" w:hAnsi="Times New Roman" w:cs="Times New Roman"/>
          <w:i/>
          <w:iCs/>
          <w:kern w:val="0"/>
          <w:lang w:eastAsia="en-GB"/>
          <w14:ligatures w14:val="none"/>
        </w:rPr>
        <w:t>action</w:t>
      </w:r>
      <w:r w:rsidRPr="00B92478">
        <w:rPr>
          <w:rFonts w:ascii="Times New Roman" w:eastAsia="Times New Roman" w:hAnsi="Times New Roman" w:cs="Times New Roman"/>
          <w:kern w:val="0"/>
          <w:lang w:eastAsia="en-GB"/>
          <w14:ligatures w14:val="none"/>
        </w:rPr>
        <w:t>) in se nato uči iz procesa ter rezultatov tega ukrepanja (Action Learning Associates, b. d.). Reginald Revans je ta proces formaliziral s formulo: </w:t>
      </w:r>
      <w:r w:rsidRPr="00B92478">
        <w:rPr>
          <w:rFonts w:ascii="Times New Roman" w:eastAsia="Times New Roman" w:hAnsi="Times New Roman" w:cs="Times New Roman"/>
          <w:b/>
          <w:bCs/>
          <w:kern w:val="0"/>
          <w:lang w:eastAsia="en-GB"/>
          <w14:ligatures w14:val="none"/>
        </w:rPr>
        <w:t>Učenje = Programirano Znanje + Vprašanja (</w:t>
      </w:r>
    </w:p>
    <w:p w14:paraId="47FE8A30" w14:textId="77777777" w:rsidR="00B92478" w:rsidRPr="00B92478" w:rsidRDefault="00B92478" w:rsidP="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kern w:val="0"/>
          <w:sz w:val="20"/>
          <w:szCs w:val="20"/>
          <w:lang w:eastAsia="en-GB"/>
          <w14:ligatures w14:val="none"/>
        </w:rPr>
      </w:pPr>
      <w:r w:rsidRPr="00B92478">
        <w:rPr>
          <w:rFonts w:ascii="Courier New" w:eastAsia="Times New Roman" w:hAnsi="Courier New" w:cs="Courier New"/>
          <w:b/>
          <w:bCs/>
          <w:kern w:val="0"/>
          <w:sz w:val="20"/>
          <w:szCs w:val="20"/>
          <w:lang w:eastAsia="en-GB"/>
          <w14:ligatures w14:val="none"/>
        </w:rPr>
        <w:t xml:space="preserve">        </w:t>
      </w:r>
      <m:oMath>
        <m:r>
          <w:rPr>
            <w:rFonts w:ascii="Cambria Math" w:eastAsia="Times New Roman" w:hAnsi="Cambria Math" w:cs="Courier New"/>
            <w:kern w:val="0"/>
            <w:sz w:val="20"/>
            <w:szCs w:val="20"/>
            <w:lang w:eastAsia="en-GB"/>
            <w14:ligatures w14:val="none"/>
          </w:rPr>
          <m:t>L=P+Q</m:t>
        </m:r>
      </m:oMath>
    </w:p>
    <w:p w14:paraId="0B083359" w14:textId="77777777" w:rsidR="00B92478" w:rsidRPr="00B92478" w:rsidRDefault="00B92478" w:rsidP="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92478">
        <w:rPr>
          <w:rFonts w:ascii="Courier New" w:eastAsia="Times New Roman" w:hAnsi="Courier New" w:cs="Courier New"/>
          <w:b/>
          <w:bCs/>
          <w:kern w:val="0"/>
          <w:sz w:val="20"/>
          <w:szCs w:val="20"/>
          <w:lang w:eastAsia="en-GB"/>
          <w14:ligatures w14:val="none"/>
        </w:rPr>
        <w:t xml:space="preserve">      </w:t>
      </w:r>
    </w:p>
    <w:p w14:paraId="54A6A3FD" w14:textId="77777777" w:rsidR="00B92478" w:rsidRPr="00B92478" w:rsidRDefault="00B92478" w:rsidP="00B92478">
      <w:pPr>
        <w:spacing w:after="0"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w:t>
      </w:r>
      <w:r w:rsidRPr="00B92478">
        <w:rPr>
          <w:rFonts w:ascii="Times New Roman" w:eastAsia="Times New Roman" w:hAnsi="Times New Roman" w:cs="Times New Roman"/>
          <w:kern w:val="0"/>
          <w:lang w:eastAsia="en-GB"/>
          <w14:ligatures w14:val="none"/>
        </w:rPr>
        <w:t> (Revans, 1984, v Action Learning Associates, b. d.; Action Learning Associates, b. d.). Bistvo metode ni zgolj v aplikaciji obstoječega znanja (P), temveč v generiranju novega znanja skozi postavljanje prodornih vprašanj (Q). Po mnenju IFALOfficial (2012) in Adamsa (2010, v Action Learning Associates, b. d.) je temeljita linija spraševanja nujna za razjasnitev natančne narave problema in predstavlja integralni del učnega ter refleksivnega procesa. Posledično sodelovanje v AL razvija bistvene kognitivne in socialne spretnosti, med katerimi izstopajo kritično mišljenje, sposobnost spraševanja in reflektivno poslušanje (Action Learning Associates, b. d.).</w:t>
      </w:r>
    </w:p>
    <w:p w14:paraId="17EE05C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Vzporedno z AL se v praksi uveljavljata Problemsko učenje (PBL) in Projektno učenje (</w:t>
      </w:r>
      <w:r w:rsidRPr="00B92478">
        <w:rPr>
          <w:rFonts w:ascii="Times New Roman" w:eastAsia="Times New Roman" w:hAnsi="Times New Roman" w:cs="Times New Roman"/>
          <w:i/>
          <w:iCs/>
          <w:kern w:val="0"/>
          <w:lang w:eastAsia="en-GB"/>
          <w14:ligatures w14:val="none"/>
        </w:rPr>
        <w:t>Project-Based Learning</w:t>
      </w:r>
      <w:r w:rsidRPr="00B92478">
        <w:rPr>
          <w:rFonts w:ascii="Times New Roman" w:eastAsia="Times New Roman" w:hAnsi="Times New Roman" w:cs="Times New Roman"/>
          <w:kern w:val="0"/>
          <w:lang w:eastAsia="en-GB"/>
          <w14:ligatures w14:val="none"/>
        </w:rPr>
        <w:t>). Problemsko učenje je opredeljeno kot večdisciplinaren pristop, osredotočen na realno aplikacijo, ki uporablja aktivne učne metode (Experiential Learning Institute, b. d.; Learner Variability Project, b. d.). Običajno vključuje reševanje specifičnih problemov v omejenem obsegu in časovnem okviru (Georgetown University, b. d.). Nasprotno pa se Projektno učenje razteza na daljša časovna obdobja in omogoča študentom, da se poglobljeno vključijo v kompleksne projekte, ki zasledujejo večkratne učne cilje (Georgetown University, b. d.). Oba pristopa sta idealna za populacijo odraslih, saj z jasnim prikazom neposrednega namena učenja spodbujata motivacijo in krepita dolgoročni spomin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w:t>
      </w:r>
    </w:p>
    <w:p w14:paraId="215FF66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3.3. Izkustvene didaktične tehnike in kontekstualno učenje</w:t>
      </w:r>
    </w:p>
    <w:p w14:paraId="797CFB8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Poleg celovitih metodoloških okvirov se v izobraževanju odraslih uporabljajo tudi specifične didaktične tehnike, ki omogočajo aktivno angažiranost in kontekstualizacijo znanja (Park University, 2025).</w:t>
      </w:r>
    </w:p>
    <w:p w14:paraId="4ACB2F2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Prva pomembna tehnika so </w:t>
      </w:r>
      <w:r w:rsidRPr="00B92478">
        <w:rPr>
          <w:rFonts w:ascii="Times New Roman" w:eastAsia="Times New Roman" w:hAnsi="Times New Roman" w:cs="Times New Roman"/>
          <w:b/>
          <w:bCs/>
          <w:kern w:val="0"/>
          <w:lang w:eastAsia="en-GB"/>
          <w14:ligatures w14:val="none"/>
        </w:rPr>
        <w:t>študije primerov</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Case Studies/Case-Based Learning</w:t>
      </w:r>
      <w:r w:rsidRPr="00B92478">
        <w:rPr>
          <w:rFonts w:ascii="Times New Roman" w:eastAsia="Times New Roman" w:hAnsi="Times New Roman" w:cs="Times New Roman"/>
          <w:kern w:val="0"/>
          <w:lang w:eastAsia="en-GB"/>
          <w14:ligatures w14:val="none"/>
        </w:rPr>
        <w:t>), ki vključujejo analizo realnih scenarijev ali avtentičnih kliničnih primerov (Georgetown University, b. d.). Če to tehniko umestimo v Kolbov cikel izkustvenega učenja, analiza primerov služi kot faza </w:t>
      </w:r>
      <w:r w:rsidRPr="00B92478">
        <w:rPr>
          <w:rFonts w:ascii="Times New Roman" w:eastAsia="Times New Roman" w:hAnsi="Times New Roman" w:cs="Times New Roman"/>
          <w:b/>
          <w:bCs/>
          <w:kern w:val="0"/>
          <w:lang w:eastAsia="en-GB"/>
          <w14:ligatures w14:val="none"/>
        </w:rPr>
        <w:t>Konkretne Izkušnje (CE)</w:t>
      </w:r>
      <w:r w:rsidRPr="00B92478">
        <w:rPr>
          <w:rFonts w:ascii="Times New Roman" w:eastAsia="Times New Roman" w:hAnsi="Times New Roman" w:cs="Times New Roman"/>
          <w:kern w:val="0"/>
          <w:lang w:eastAsia="en-GB"/>
          <w14:ligatures w14:val="none"/>
        </w:rPr>
        <w:t>. Ta metoda učence potopi v avtentične kontekste, s čimer se izboljša njihova sposobnost reševanja problemov in splošna poklicna kompetentnost (Cheng idr., 2025; Liu idr., 2020, v Cheng idr., 2025).</w:t>
      </w:r>
    </w:p>
    <w:p w14:paraId="6FDCF0C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Druga skupina tehnik zajema </w:t>
      </w:r>
      <w:r w:rsidRPr="00B92478">
        <w:rPr>
          <w:rFonts w:ascii="Times New Roman" w:eastAsia="Times New Roman" w:hAnsi="Times New Roman" w:cs="Times New Roman"/>
          <w:b/>
          <w:bCs/>
          <w:kern w:val="0"/>
          <w:lang w:eastAsia="en-GB"/>
          <w14:ligatures w14:val="none"/>
        </w:rPr>
        <w:t>simulacije in igranje vlog</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Role-Playing</w:t>
      </w:r>
      <w:r w:rsidRPr="00B92478">
        <w:rPr>
          <w:rFonts w:ascii="Times New Roman" w:eastAsia="Times New Roman" w:hAnsi="Times New Roman" w:cs="Times New Roman"/>
          <w:kern w:val="0"/>
          <w:lang w:eastAsia="en-GB"/>
          <w14:ligatures w14:val="none"/>
        </w:rPr>
        <w:t>). Te metode pomagajo krepiti teoretične koncepte, saj omogočajo smiselno aplikacijo znanja v nadzorovanem okolju (Park University, 2025). Posebej učinkovite so </w:t>
      </w:r>
      <w:r w:rsidRPr="00B92478">
        <w:rPr>
          <w:rFonts w:ascii="Times New Roman" w:eastAsia="Times New Roman" w:hAnsi="Times New Roman" w:cs="Times New Roman"/>
          <w:b/>
          <w:bCs/>
          <w:kern w:val="0"/>
          <w:lang w:eastAsia="en-GB"/>
          <w14:ligatures w14:val="none"/>
        </w:rPr>
        <w:t>vrstniške simulacije</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peer-led simulations</w:t>
      </w:r>
      <w:r w:rsidRPr="00B92478">
        <w:rPr>
          <w:rFonts w:ascii="Times New Roman" w:eastAsia="Times New Roman" w:hAnsi="Times New Roman" w:cs="Times New Roman"/>
          <w:kern w:val="0"/>
          <w:lang w:eastAsia="en-GB"/>
          <w14:ligatures w14:val="none"/>
        </w:rPr>
        <w:t xml:space="preserve">) in debate, ki v Kolbovem modelu predstavljajo </w:t>
      </w:r>
      <w:r w:rsidRPr="00B92478">
        <w:rPr>
          <w:rFonts w:ascii="Times New Roman" w:eastAsia="Times New Roman" w:hAnsi="Times New Roman" w:cs="Times New Roman"/>
          <w:kern w:val="0"/>
          <w:lang w:eastAsia="en-GB"/>
          <w14:ligatures w14:val="none"/>
        </w:rPr>
        <w:lastRenderedPageBreak/>
        <w:t>fazo </w:t>
      </w:r>
      <w:r w:rsidRPr="00B92478">
        <w:rPr>
          <w:rFonts w:ascii="Times New Roman" w:eastAsia="Times New Roman" w:hAnsi="Times New Roman" w:cs="Times New Roman"/>
          <w:b/>
          <w:bCs/>
          <w:kern w:val="0"/>
          <w:lang w:eastAsia="en-GB"/>
          <w14:ligatures w14:val="none"/>
        </w:rPr>
        <w:t>Aktivnega Eksperimentiranja (AE)</w:t>
      </w:r>
      <w:r w:rsidRPr="00B92478">
        <w:rPr>
          <w:rFonts w:ascii="Times New Roman" w:eastAsia="Times New Roman" w:hAnsi="Times New Roman" w:cs="Times New Roman"/>
          <w:kern w:val="0"/>
          <w:lang w:eastAsia="en-GB"/>
          <w14:ligatures w14:val="none"/>
        </w:rPr>
        <w:t>. Tovrstne aktivnosti ne krepijo le strokovnega znanja, temveč ključno prispevajo k razvoju socialnih in timskih kompetenc (Cheng idr., 2025).</w:t>
      </w:r>
    </w:p>
    <w:p w14:paraId="0A0D63E0" w14:textId="154980E0" w:rsid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Tretji vidik predstavlja integracija </w:t>
      </w:r>
      <w:r w:rsidRPr="00B92478">
        <w:rPr>
          <w:rFonts w:ascii="Times New Roman" w:eastAsia="Times New Roman" w:hAnsi="Times New Roman" w:cs="Times New Roman"/>
          <w:b/>
          <w:bCs/>
          <w:kern w:val="0"/>
          <w:lang w:eastAsia="en-GB"/>
          <w14:ligatures w14:val="none"/>
        </w:rPr>
        <w:t>spletnih tehnologij</w:t>
      </w:r>
      <w:r w:rsidRPr="00B92478">
        <w:rPr>
          <w:rFonts w:ascii="Times New Roman" w:eastAsia="Times New Roman" w:hAnsi="Times New Roman" w:cs="Times New Roman"/>
          <w:kern w:val="0"/>
          <w:lang w:eastAsia="en-GB"/>
          <w14:ligatures w14:val="none"/>
        </w:rPr>
        <w:t>. Sodobna digitalna orodja, kot sta virtualna realnost (VR) in obogatena resničnost (AR), omogočajo izvedbo poglobljenih simulacij. S tem se ustvarijo realistična učna okolja, ki bi bila v resničnem svetu morda nedostopna, predraga ali preveč tvegana za začetno učenje (Georgetown University, b. d.). Uporaba teh tehnologij omogoča varno eksperimentiranje in ponavljanje postopkov, kar je ključno za utrjevanje veščin pred prenosom v realno prakso.</w:t>
      </w:r>
    </w:p>
    <w:p w14:paraId="3FE1C154" w14:textId="77777777" w:rsidR="00B92478" w:rsidRDefault="00B9247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7A2466F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lastRenderedPageBreak/>
        <w:t>4. Refleksija kot kognitivni mehanizem integracije znanja</w:t>
      </w:r>
    </w:p>
    <w:p w14:paraId="618EB92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 analizi izkustvenega učenja je ključno poudariti, da zgolj izpostavljenost izkušnji še ne zagotavlja učenja. Izkustvena metoda sama po sebi ne more biti učinkovita brez premišljene in strukturirane refleksije, ki deluje kot kognitivni most med konkretnim dogodkom in abstraktnim konceptom (Cheng idr., 2025). Refleksija v tem kontekstu ni zgolj pasivno spominjanje preteklih dogodkov, temveč aktiven in nameren kognitivni proces, ki je nujen za preoblikovanje surove izkušnje v trajno, prenosljivo in uporabno znanje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V tem poglavju obravnavamo metodološke pristope k strukturiranju refleksije ter analiziramo globino učenja skozi prizmo teorije enojne in dvojne zanke.</w:t>
      </w:r>
    </w:p>
    <w:p w14:paraId="3B6188B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4.1. Strukturiranje refleksivnega procesa</w:t>
      </w:r>
    </w:p>
    <w:p w14:paraId="27C7EC1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 doseganje optimalnih učnih izidov je potrebno refleksijo metodološko podpreti z orodji, ki učence vodijo skozi različne faze kognitivne obdelave informacij. Cheng idr. (2025) izpostavljajo dve ključni orodji, ki neposredno korelirata s fazami Kolbovega cikla: refleksivne dnevnike in miselne zemljevide.</w:t>
      </w:r>
    </w:p>
    <w:p w14:paraId="3BB90CF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Refleksivni dnevniki</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Reflective Journals</w:t>
      </w:r>
      <w:r w:rsidRPr="00B92478">
        <w:rPr>
          <w:rFonts w:ascii="Times New Roman" w:eastAsia="Times New Roman" w:hAnsi="Times New Roman" w:cs="Times New Roman"/>
          <w:kern w:val="0"/>
          <w:lang w:eastAsia="en-GB"/>
          <w14:ligatures w14:val="none"/>
        </w:rPr>
        <w:t>) predstavljajo operacionalizacijo faze </w:t>
      </w:r>
      <w:r w:rsidRPr="00B92478">
        <w:rPr>
          <w:rFonts w:ascii="Times New Roman" w:eastAsia="Times New Roman" w:hAnsi="Times New Roman" w:cs="Times New Roman"/>
          <w:b/>
          <w:bCs/>
          <w:kern w:val="0"/>
          <w:lang w:eastAsia="en-GB"/>
          <w14:ligatures w14:val="none"/>
        </w:rPr>
        <w:t>Refleksivnega Opazovanja (RO)</w:t>
      </w:r>
      <w:r w:rsidRPr="00B92478">
        <w:rPr>
          <w:rFonts w:ascii="Times New Roman" w:eastAsia="Times New Roman" w:hAnsi="Times New Roman" w:cs="Times New Roman"/>
          <w:kern w:val="0"/>
          <w:lang w:eastAsia="en-GB"/>
          <w14:ligatures w14:val="none"/>
        </w:rPr>
        <w:t> v Kolbovem ciklu. Ta instrument študentom omogoča, da izvedejo kritično analizo svojih učnih izkušenj, s čimer ne le beležijo dogodke, temveč razvijajo metakognitivno sposobnost samonadzora (</w:t>
      </w:r>
      <w:r w:rsidRPr="00B92478">
        <w:rPr>
          <w:rFonts w:ascii="Times New Roman" w:eastAsia="Times New Roman" w:hAnsi="Times New Roman" w:cs="Times New Roman"/>
          <w:i/>
          <w:iCs/>
          <w:kern w:val="0"/>
          <w:lang w:eastAsia="en-GB"/>
          <w14:ligatures w14:val="none"/>
        </w:rPr>
        <w:t>self-monitoring</w:t>
      </w:r>
      <w:r w:rsidRPr="00B92478">
        <w:rPr>
          <w:rFonts w:ascii="Times New Roman" w:eastAsia="Times New Roman" w:hAnsi="Times New Roman" w:cs="Times New Roman"/>
          <w:kern w:val="0"/>
          <w:lang w:eastAsia="en-GB"/>
          <w14:ligatures w14:val="none"/>
        </w:rPr>
        <w:t>). Pisanje dnevnika zahteva od učenca, da se ustavi in verbalizira notranje procese, kar spodbuja globlje razumevanje lastnih reakcij in miselnih vzorcev (Cheng idr., 2025).</w:t>
      </w:r>
    </w:p>
    <w:p w14:paraId="45342F8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Na drugi strani </w:t>
      </w:r>
      <w:r w:rsidRPr="00B92478">
        <w:rPr>
          <w:rFonts w:ascii="Times New Roman" w:eastAsia="Times New Roman" w:hAnsi="Times New Roman" w:cs="Times New Roman"/>
          <w:b/>
          <w:bCs/>
          <w:kern w:val="0"/>
          <w:lang w:eastAsia="en-GB"/>
          <w14:ligatures w14:val="none"/>
        </w:rPr>
        <w:t>miselni zemljevidi</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Mind Maps</w:t>
      </w:r>
      <w:r w:rsidRPr="00B92478">
        <w:rPr>
          <w:rFonts w:ascii="Times New Roman" w:eastAsia="Times New Roman" w:hAnsi="Times New Roman" w:cs="Times New Roman"/>
          <w:kern w:val="0"/>
          <w:lang w:eastAsia="en-GB"/>
          <w14:ligatures w14:val="none"/>
        </w:rPr>
        <w:t>) pripadajo fazi </w:t>
      </w:r>
      <w:r w:rsidRPr="00B92478">
        <w:rPr>
          <w:rFonts w:ascii="Times New Roman" w:eastAsia="Times New Roman" w:hAnsi="Times New Roman" w:cs="Times New Roman"/>
          <w:b/>
          <w:bCs/>
          <w:kern w:val="0"/>
          <w:lang w:eastAsia="en-GB"/>
          <w14:ligatures w14:val="none"/>
        </w:rPr>
        <w:t>Abstraktne Konceptualizacije (AC)</w:t>
      </w:r>
      <w:r w:rsidRPr="00B92478">
        <w:rPr>
          <w:rFonts w:ascii="Times New Roman" w:eastAsia="Times New Roman" w:hAnsi="Times New Roman" w:cs="Times New Roman"/>
          <w:kern w:val="0"/>
          <w:lang w:eastAsia="en-GB"/>
          <w14:ligatures w14:val="none"/>
        </w:rPr>
        <w:t>. Če dnevniki služijo introspekciji, miselni zemljevidi služijo organizaciji in sintezi. Učencem pomagajo, da kompleksne in pogosto neurejene informacije iz izkušenj organizirajo v koherentne hierarhične okvire. S tem procesom sintetizirajo teoretične koncepte in transformirajo razpršeno znanje v konkretne akcijske načrte. Empirični dokazi kažejo, da uporaba miselnih zemljevidov neposredno krepi analitično in sistematično mišljenje, saj učence prisili k prepoznavanju povezav med različnimi koncepti (Cheng idr., 2025).</w:t>
      </w:r>
    </w:p>
    <w:p w14:paraId="7E115F2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 celovito vodenje refleksivnega procesa se v praksi, zlasti v izobraževanju zdravstvenih delavcev, pogosto uporablja </w:t>
      </w:r>
      <w:r w:rsidRPr="00B92478">
        <w:rPr>
          <w:rFonts w:ascii="Times New Roman" w:eastAsia="Times New Roman" w:hAnsi="Times New Roman" w:cs="Times New Roman"/>
          <w:b/>
          <w:bCs/>
          <w:kern w:val="0"/>
          <w:lang w:eastAsia="en-GB"/>
          <w14:ligatures w14:val="none"/>
        </w:rPr>
        <w:t>Gibbsov refleksivni cikel</w:t>
      </w:r>
      <w:r w:rsidRPr="00B92478">
        <w:rPr>
          <w:rFonts w:ascii="Times New Roman" w:eastAsia="Times New Roman" w:hAnsi="Times New Roman" w:cs="Times New Roman"/>
          <w:kern w:val="0"/>
          <w:lang w:eastAsia="en-GB"/>
          <w14:ligatures w14:val="none"/>
        </w:rPr>
        <w:t> (1988). Gibbsov model ponuja jasno strukturo, sestavljeno iz šestih zaporednih stopenj, ki zagotavljajo, da refleksija ne ostane na površinski ravni (Gibbs, 1988, v HEE London, b. d.; Ardian idr., 2019, v Machost in Stains, 2023; Husebø idr., 2015, v Machost in Stains, 2023):</w:t>
      </w:r>
    </w:p>
    <w:p w14:paraId="7B7B818D" w14:textId="77777777" w:rsidR="00B92478" w:rsidRPr="00B92478" w:rsidRDefault="00B92478" w:rsidP="00B9247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Opis:</w:t>
      </w:r>
      <w:r w:rsidRPr="00B92478">
        <w:rPr>
          <w:rFonts w:ascii="Times New Roman" w:eastAsia="Times New Roman" w:hAnsi="Times New Roman" w:cs="Times New Roman"/>
          <w:kern w:val="0"/>
          <w:lang w:eastAsia="en-GB"/>
          <w14:ligatures w14:val="none"/>
        </w:rPr>
        <w:t> Kaj se je zgodilo?</w:t>
      </w:r>
    </w:p>
    <w:p w14:paraId="4C25F522" w14:textId="77777777" w:rsidR="00B92478" w:rsidRPr="00B92478" w:rsidRDefault="00B92478" w:rsidP="00B9247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Občutki:</w:t>
      </w:r>
      <w:r w:rsidRPr="00B92478">
        <w:rPr>
          <w:rFonts w:ascii="Times New Roman" w:eastAsia="Times New Roman" w:hAnsi="Times New Roman" w:cs="Times New Roman"/>
          <w:kern w:val="0"/>
          <w:lang w:eastAsia="en-GB"/>
          <w14:ligatures w14:val="none"/>
        </w:rPr>
        <w:t> O čem ste razmišljali in kaj ste čutili?</w:t>
      </w:r>
    </w:p>
    <w:p w14:paraId="6739FD61" w14:textId="77777777" w:rsidR="00B92478" w:rsidRPr="00B92478" w:rsidRDefault="00B92478" w:rsidP="00B9247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Vrednotenje:</w:t>
      </w:r>
      <w:r w:rsidRPr="00B92478">
        <w:rPr>
          <w:rFonts w:ascii="Times New Roman" w:eastAsia="Times New Roman" w:hAnsi="Times New Roman" w:cs="Times New Roman"/>
          <w:kern w:val="0"/>
          <w:lang w:eastAsia="en-GB"/>
          <w14:ligatures w14:val="none"/>
        </w:rPr>
        <w:t> Kaj je bilo pri izkušnji dobrega in kaj slabega?</w:t>
      </w:r>
    </w:p>
    <w:p w14:paraId="36BA5EE3" w14:textId="77777777" w:rsidR="00B92478" w:rsidRPr="00B92478" w:rsidRDefault="00B92478" w:rsidP="00B9247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Analiza:</w:t>
      </w:r>
      <w:r w:rsidRPr="00B92478">
        <w:rPr>
          <w:rFonts w:ascii="Times New Roman" w:eastAsia="Times New Roman" w:hAnsi="Times New Roman" w:cs="Times New Roman"/>
          <w:kern w:val="0"/>
          <w:lang w:eastAsia="en-GB"/>
          <w14:ligatures w14:val="none"/>
        </w:rPr>
        <w:t> Kaj lahko razberemo iz situacije?</w:t>
      </w:r>
    </w:p>
    <w:p w14:paraId="26D6EC7B" w14:textId="77777777" w:rsidR="00B92478" w:rsidRPr="00B92478" w:rsidRDefault="00B92478" w:rsidP="00B9247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Zaključek:</w:t>
      </w:r>
      <w:r w:rsidRPr="00B92478">
        <w:rPr>
          <w:rFonts w:ascii="Times New Roman" w:eastAsia="Times New Roman" w:hAnsi="Times New Roman" w:cs="Times New Roman"/>
          <w:kern w:val="0"/>
          <w:lang w:eastAsia="en-GB"/>
          <w14:ligatures w14:val="none"/>
        </w:rPr>
        <w:t> Kaj bi še lahko storili?</w:t>
      </w:r>
    </w:p>
    <w:p w14:paraId="1E3ADF23" w14:textId="77777777" w:rsidR="00B92478" w:rsidRPr="00B92478" w:rsidRDefault="00B92478" w:rsidP="00B92478">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Akcijski načrt:</w:t>
      </w:r>
      <w:r w:rsidRPr="00B92478">
        <w:rPr>
          <w:rFonts w:ascii="Times New Roman" w:eastAsia="Times New Roman" w:hAnsi="Times New Roman" w:cs="Times New Roman"/>
          <w:kern w:val="0"/>
          <w:lang w:eastAsia="en-GB"/>
          <w14:ligatures w14:val="none"/>
        </w:rPr>
        <w:t> Kaj bi storili, če bi se situacija ponovila?</w:t>
      </w:r>
    </w:p>
    <w:p w14:paraId="538EFAE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 xml:space="preserve">Kljub široki uporabi modela opozarjamo na kritike, da je lahko preveč formulaičen in da reducira kompleksen proces refleksije na mehanicističen niz korakov (HEE London, b. d.). </w:t>
      </w:r>
      <w:r w:rsidRPr="00B92478">
        <w:rPr>
          <w:rFonts w:ascii="Times New Roman" w:eastAsia="Times New Roman" w:hAnsi="Times New Roman" w:cs="Times New Roman"/>
          <w:kern w:val="0"/>
          <w:lang w:eastAsia="en-GB"/>
          <w14:ligatures w14:val="none"/>
        </w:rPr>
        <w:lastRenderedPageBreak/>
        <w:t>Vendar pa ravno ta struktura začetnikom nudi potrebno varnost in usmeritev pri razvijanju refleksivnih kompetenc.</w:t>
      </w:r>
    </w:p>
    <w:p w14:paraId="2F3BA0A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4.2. Od enojne k dvojni zanki učenja (Double-Loop Learning)</w:t>
      </w:r>
    </w:p>
    <w:p w14:paraId="1D8EAD0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Kakovost refleksije se ne meri le po njeni strukturi, temveč predvsem po njeni globini. V teoriji organizacijskega učenja Argyris in Schön (1978, v HEE London, b. d.) razlikujeta med dvema nivojema učenja, ki sta ključna za razumevanje transformativnega potenciala izkustvenih metod.</w:t>
      </w:r>
    </w:p>
    <w:p w14:paraId="05911CF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Prvi nivo predstavlja </w:t>
      </w:r>
      <w:r w:rsidRPr="00B92478">
        <w:rPr>
          <w:rFonts w:ascii="Times New Roman" w:eastAsia="Times New Roman" w:hAnsi="Times New Roman" w:cs="Times New Roman"/>
          <w:b/>
          <w:bCs/>
          <w:kern w:val="0"/>
          <w:lang w:eastAsia="en-GB"/>
          <w14:ligatures w14:val="none"/>
        </w:rPr>
        <w:t>učenje z enojno zanko</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Single-Loop Learning</w:t>
      </w:r>
      <w:r w:rsidRPr="00B92478">
        <w:rPr>
          <w:rFonts w:ascii="Times New Roman" w:eastAsia="Times New Roman" w:hAnsi="Times New Roman" w:cs="Times New Roman"/>
          <w:kern w:val="0"/>
          <w:lang w:eastAsia="en-GB"/>
          <w14:ligatures w14:val="none"/>
        </w:rPr>
        <w:t>). Pri tem procesu posamezniki prilagodijo svoja dejanja z namenom zmanjšanja vrzeli med pričakovanimi in dejanskimi rezultati, ne da bi pri tem preizpraševali temeljna pravila ali cilje sistema. Ta oblika učenja ima močne vzporednice z osnovnim Kolbovim ciklom in se osredotoča na operativna vprašanja tipa "kaj": "Kaj sem naredil?" in "Kaj moram storiti naslednjič, da bo rezultat boljši?" (HEE London, b. d.). Gre za instrumentalno učenje, ki je učinkovito za reševanje rutinskih problemov, vendar ne vodi nujno do trajnih sprememb v razumevanju.</w:t>
      </w:r>
    </w:p>
    <w:p w14:paraId="2B1122B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Drugi, globlji nivo predstavlja </w:t>
      </w:r>
      <w:r w:rsidRPr="00B92478">
        <w:rPr>
          <w:rFonts w:ascii="Times New Roman" w:eastAsia="Times New Roman" w:hAnsi="Times New Roman" w:cs="Times New Roman"/>
          <w:b/>
          <w:bCs/>
          <w:kern w:val="0"/>
          <w:lang w:eastAsia="en-GB"/>
          <w14:ligatures w14:val="none"/>
        </w:rPr>
        <w:t>učenje z dvojno zanko</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Double-Loop Learning</w:t>
      </w:r>
      <w:r w:rsidRPr="00B92478">
        <w:rPr>
          <w:rFonts w:ascii="Times New Roman" w:eastAsia="Times New Roman" w:hAnsi="Times New Roman" w:cs="Times New Roman"/>
          <w:kern w:val="0"/>
          <w:lang w:eastAsia="en-GB"/>
          <w14:ligatures w14:val="none"/>
        </w:rPr>
        <w:t>). To je kognitivno zahtevnejši proces, ki od posameznika terja, da preseže zgolj korekcijo napak in se loti kritičnega preizpraševanja vrednot, predpostavk in politik, ki so sploh vodile do prvotnih dejanj (Argyris in Schön, 1978, v HEE London, b. d.). Refleksija na tem nivoju se osredotoča na vprašanja tipa "zakaj": "Zakaj sem v tej situaciji reagiral na tak način? Kakšne so bile moje temeljne predpostavke, ki so usmerjale to dejanje?" (HEE London, b. d.).</w:t>
      </w:r>
    </w:p>
    <w:p w14:paraId="4B6ECC42" w14:textId="6C854F6C" w:rsid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Uvajanje učenja z dvojno zanko je v izobraževanju odraslih bistvenega pomena, saj omogoča </w:t>
      </w:r>
      <w:r w:rsidRPr="00B92478">
        <w:rPr>
          <w:rFonts w:ascii="Times New Roman" w:eastAsia="Times New Roman" w:hAnsi="Times New Roman" w:cs="Times New Roman"/>
          <w:b/>
          <w:bCs/>
          <w:kern w:val="0"/>
          <w:lang w:eastAsia="en-GB"/>
          <w14:ligatures w14:val="none"/>
        </w:rPr>
        <w:t>transformativno učenje</w:t>
      </w:r>
      <w:r w:rsidRPr="00B92478">
        <w:rPr>
          <w:rFonts w:ascii="Times New Roman" w:eastAsia="Times New Roman" w:hAnsi="Times New Roman" w:cs="Times New Roman"/>
          <w:kern w:val="0"/>
          <w:lang w:eastAsia="en-GB"/>
          <w14:ligatures w14:val="none"/>
        </w:rPr>
        <w:t>. Odrasli v učni proces vstopajo z utrjenimi miselnimi vzorci in predpostavkami. Če refleksija ostane na ravni enojne zanke, se ti vzorci ne spremenijo, temveč se zgolj optimizirajo obstoječa vedenja. Šele z dvojno zanko, ki pretrese temeljne kognitivne strukture, je mogoče doseči kvalitativni preskok v razumevanju in delovanju.</w:t>
      </w:r>
    </w:p>
    <w:p w14:paraId="5144D46D" w14:textId="77777777" w:rsidR="00B92478" w:rsidRDefault="00B9247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49424D4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lastRenderedPageBreak/>
        <w:t>5. Empirična verifikacija učinkovitosti in učnih izidov</w:t>
      </w:r>
    </w:p>
    <w:p w14:paraId="0F9B46E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Teoretična utemeljitev izkustvenega učenja (EL) in njegova usklajenost z andragoškimi principi dobivata svojo dokončno potrditev v obsežnem korpusu empiričnih raziskav. V tem poglavju analiziramo kvantitativne in kvalitativne dokaze, ki potrjujejo superiornost izkustvenih metodologij v primerjavi s tradicionalnimi didaktičnimi pristopi. Posebno pozornost namenjamo vplivu EL na kognitivne in osebnostne izide ter primerjalni analizi učinkovitosti glede na modalnost izvedbe (fizična prisotnost v primerjavi s spletnim okoljem).</w:t>
      </w:r>
    </w:p>
    <w:p w14:paraId="52FBE8E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5.1. Kvantitativni dokazi o superiornosti EL</w:t>
      </w:r>
    </w:p>
    <w:p w14:paraId="2522CFB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Zaradi svoje inherentne osredotočenosti na aktivno participacijo in refleksijo je izkustveno učenje prepoznano kot učinkovitejša metodologija za učenje odraslih (Schwehm idr., 2017). To trditev podpirajo obsežne meta-analize raziskovalne literature, zlasti na področju učenja s služenjem (</w:t>
      </w:r>
      <w:r w:rsidRPr="00B92478">
        <w:rPr>
          <w:rFonts w:ascii="Times New Roman" w:eastAsia="Times New Roman" w:hAnsi="Times New Roman" w:cs="Times New Roman"/>
          <w:i/>
          <w:iCs/>
          <w:kern w:val="0"/>
          <w:lang w:eastAsia="en-GB"/>
          <w14:ligatures w14:val="none"/>
        </w:rPr>
        <w:t>service-learning</w:t>
      </w:r>
      <w:r w:rsidRPr="00B92478">
        <w:rPr>
          <w:rFonts w:ascii="Times New Roman" w:eastAsia="Times New Roman" w:hAnsi="Times New Roman" w:cs="Times New Roman"/>
          <w:kern w:val="0"/>
          <w:lang w:eastAsia="en-GB"/>
          <w14:ligatures w14:val="none"/>
        </w:rPr>
        <w:t>), ki konsistentno kažejo, da udeleženci tovrstnih programov dosegajo višje ravni učnih izidov kot njihovi vrstniki v tradicionalnih učnih okoljih (Celio idr., 2011; Conway idr., 2009; Yorio in Ye, 2012).</w:t>
      </w:r>
    </w:p>
    <w:p w14:paraId="43878B9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Ena izmed ključnih študij, meta-analiza Celia idr. (2011), ki je zajela 62 empiričnih raziskav, je potrdila, da so imeli udeleženci izkustvenega učenja statistično značilne pridobitve v petih kategorijah ključnih izidov: odnos do sebe (npr. samozavest), odnos do šole in učenja, državljanska angažiranost, socialne veščine in akademska uspešnost. Ti rezultati nakazujejo na večdimenzionalni vpliv izkustvenih metod, ki presega zgolj kognitivno sfero.</w:t>
      </w:r>
    </w:p>
    <w:p w14:paraId="420370E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Še prepričljivejše dokaze nudi obsežna meta-analiza Burcha idr. (2019), ki je analizirala 89 empiričnih študij v 43-letnem časovnem razponu. Rezultati so bili nedvoumni v podpori izkustvenim pedagogikam, saj so učni izidi v razredih z uporabo teh metod dosegali znatno superiorne rezultate. Kvantitativna analiza je pokazala, da so bili učni izidi pri izkustvenih metodah višji za približno pol standardnega odklona (</w:t>
      </w:r>
    </w:p>
    <w:p w14:paraId="190F4595" w14:textId="77777777" w:rsidR="00B92478" w:rsidRPr="00B92478" w:rsidRDefault="00B92478" w:rsidP="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92478">
        <w:rPr>
          <w:rFonts w:ascii="Courier New" w:eastAsia="Times New Roman" w:hAnsi="Courier New" w:cs="Courier New"/>
          <w:kern w:val="0"/>
          <w:sz w:val="20"/>
          <w:szCs w:val="20"/>
          <w:lang w:eastAsia="en-GB"/>
          <w14:ligatures w14:val="none"/>
        </w:rPr>
        <w:t xml:space="preserve">        </w:t>
      </w:r>
      <m:oMath>
        <m:r>
          <w:rPr>
            <w:rFonts w:ascii="Cambria Math" w:eastAsia="Times New Roman" w:hAnsi="Cambria Math" w:cs="Courier New"/>
            <w:kern w:val="0"/>
            <w:sz w:val="20"/>
            <w:szCs w:val="20"/>
            <w:lang w:eastAsia="en-GB"/>
            <w14:ligatures w14:val="none"/>
          </w:rPr>
          <m:t>d=0.43</m:t>
        </m:r>
      </m:oMath>
    </w:p>
    <w:p w14:paraId="79ED1BAC" w14:textId="77777777" w:rsidR="00B92478" w:rsidRPr="00B92478" w:rsidRDefault="00B92478" w:rsidP="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B92478">
        <w:rPr>
          <w:rFonts w:ascii="Courier New" w:eastAsia="Times New Roman" w:hAnsi="Courier New" w:cs="Courier New"/>
          <w:kern w:val="0"/>
          <w:sz w:val="20"/>
          <w:szCs w:val="20"/>
          <w:lang w:eastAsia="en-GB"/>
          <w14:ligatures w14:val="none"/>
        </w:rPr>
        <w:t xml:space="preserve">      </w:t>
      </w:r>
    </w:p>
    <w:p w14:paraId="184B9EAE" w14:textId="77777777" w:rsidR="00B92478" w:rsidRPr="00B92478" w:rsidRDefault="00B92478" w:rsidP="00B92478">
      <w:pPr>
        <w:spacing w:after="0"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 v primerjavi s tradicionalnimi učnimi okolji (Burch idr., 2019). Ta podatek predstavlja robusten argument za širšo implementacijo izkustvenih pristopov v kurikule za izobraževanje odraslih.</w:t>
      </w:r>
    </w:p>
    <w:p w14:paraId="2813432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5.2. Vpliv EL na ključne kognitivne in osebne izide</w:t>
      </w:r>
    </w:p>
    <w:p w14:paraId="060486D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Izkustveno učenje je močno povezano z razvojem širokega spektra kompetenc, ki so ključne za uspeh odraslih na delovnem mestu in v življenju (Park University, 2025). Analiza literature razkriva specifične mehanizme vpliva na kritično mišljenje, akademsko uspešnost in socialne veščine.</w:t>
      </w:r>
    </w:p>
    <w:p w14:paraId="76B4AA4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Na področju </w:t>
      </w:r>
      <w:r w:rsidRPr="00B92478">
        <w:rPr>
          <w:rFonts w:ascii="Times New Roman" w:eastAsia="Times New Roman" w:hAnsi="Times New Roman" w:cs="Times New Roman"/>
          <w:b/>
          <w:bCs/>
          <w:kern w:val="0"/>
          <w:lang w:eastAsia="en-GB"/>
          <w14:ligatures w14:val="none"/>
        </w:rPr>
        <w:t>samousmerjenega in kritičnega mišljenja</w:t>
      </w:r>
      <w:r w:rsidRPr="00B92478">
        <w:rPr>
          <w:rFonts w:ascii="Times New Roman" w:eastAsia="Times New Roman" w:hAnsi="Times New Roman" w:cs="Times New Roman"/>
          <w:kern w:val="0"/>
          <w:lang w:eastAsia="en-GB"/>
          <w14:ligatures w14:val="none"/>
        </w:rPr>
        <w:t xml:space="preserve"> empirični podatki kažejo, da sistematična uporaba Kolbovega cikla v izobraževanju pomembno izboljšuje te kompetence (Cheng idr., 2025; Tsingos-Lucas idr., 2016). V študiji, ki je vključevala magistrske študente zdravstvene nege, je eksperimentalna skupina, ki je bila deležna intervencije na podlagi Kolbovega cikla (z vključitvijo analize primerov, refleksivnih dnevnikov in miselnih zemljevidov), dosegla bistveno višje končne ocene ter izboljšane sposobnosti </w:t>
      </w:r>
      <w:r w:rsidRPr="00B92478">
        <w:rPr>
          <w:rFonts w:ascii="Times New Roman" w:eastAsia="Times New Roman" w:hAnsi="Times New Roman" w:cs="Times New Roman"/>
          <w:kern w:val="0"/>
          <w:lang w:eastAsia="en-GB"/>
          <w14:ligatures w14:val="none"/>
        </w:rPr>
        <w:lastRenderedPageBreak/>
        <w:t>samousmerjenega učenja (SDL) in kritičnega mišljenja v primerjavi s kontrolno skupino (Cheng idr., 2025). Sposobnost kritičnega mišljenja, definirana kot analiza, evalvacija in logična interpretacija informacij (Chang idr., 2011, v Cheng idr., 2025), se pri tem razvija predvsem skozi fazi Abstraktne Konceptualizacije in Refleksivnega Opazovanja.</w:t>
      </w:r>
    </w:p>
    <w:p w14:paraId="0BF497D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Glede </w:t>
      </w:r>
      <w:r w:rsidRPr="00B92478">
        <w:rPr>
          <w:rFonts w:ascii="Times New Roman" w:eastAsia="Times New Roman" w:hAnsi="Times New Roman" w:cs="Times New Roman"/>
          <w:b/>
          <w:bCs/>
          <w:kern w:val="0"/>
          <w:lang w:eastAsia="en-GB"/>
          <w14:ligatures w14:val="none"/>
        </w:rPr>
        <w:t>akademske uspešnosti in zadrževanja študentov</w:t>
      </w:r>
      <w:r w:rsidRPr="00B92478">
        <w:rPr>
          <w:rFonts w:ascii="Times New Roman" w:eastAsia="Times New Roman" w:hAnsi="Times New Roman" w:cs="Times New Roman"/>
          <w:kern w:val="0"/>
          <w:lang w:eastAsia="en-GB"/>
          <w14:ligatures w14:val="none"/>
        </w:rPr>
        <w:t> ugotavljamo, da je učenje s služenjem povezano z višjim povprečjem ocen, večjo verjetnostjo dokončanja študija in kasnejšim kariernim uspehom (Hébert in Hauf, 2015; Simonet, 2008; Prentice in Robinson, 2010). Z vidika andragogije je izjemno pomemben pozitiven vpliv EL na samoučinkovitost (</w:t>
      </w:r>
      <w:r w:rsidRPr="00B92478">
        <w:rPr>
          <w:rFonts w:ascii="Times New Roman" w:eastAsia="Times New Roman" w:hAnsi="Times New Roman" w:cs="Times New Roman"/>
          <w:i/>
          <w:iCs/>
          <w:kern w:val="0"/>
          <w:lang w:eastAsia="en-GB"/>
          <w14:ligatures w14:val="none"/>
        </w:rPr>
        <w:t>self-efficacy</w:t>
      </w:r>
      <w:r w:rsidRPr="00B92478">
        <w:rPr>
          <w:rFonts w:ascii="Times New Roman" w:eastAsia="Times New Roman" w:hAnsi="Times New Roman" w:cs="Times New Roman"/>
          <w:kern w:val="0"/>
          <w:lang w:eastAsia="en-GB"/>
          <w14:ligatures w14:val="none"/>
        </w:rPr>
        <w:t>) in občutek pripadnosti (</w:t>
      </w:r>
      <w:r w:rsidRPr="00B92478">
        <w:rPr>
          <w:rFonts w:ascii="Times New Roman" w:eastAsia="Times New Roman" w:hAnsi="Times New Roman" w:cs="Times New Roman"/>
          <w:i/>
          <w:iCs/>
          <w:kern w:val="0"/>
          <w:lang w:eastAsia="en-GB"/>
          <w14:ligatures w14:val="none"/>
        </w:rPr>
        <w:t>sense of belonging</w:t>
      </w:r>
      <w:r w:rsidRPr="00B92478">
        <w:rPr>
          <w:rFonts w:ascii="Times New Roman" w:eastAsia="Times New Roman" w:hAnsi="Times New Roman" w:cs="Times New Roman"/>
          <w:kern w:val="0"/>
          <w:lang w:eastAsia="en-GB"/>
          <w14:ligatures w14:val="none"/>
        </w:rPr>
        <w:t>) (Bringle idr., 2010). Bean in Metzner (1985) sta identificirala ta dva konstrukta kot ključna dejavnika, ki vplivata na odločitev odraslih študentov, da vztrajajo pri študiju do diplome, kar poudarja pomen EL kot strategije za preprečevanje osipa.</w:t>
      </w:r>
    </w:p>
    <w:p w14:paraId="4172FD1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Na ravni </w:t>
      </w:r>
      <w:r w:rsidRPr="00B92478">
        <w:rPr>
          <w:rFonts w:ascii="Times New Roman" w:eastAsia="Times New Roman" w:hAnsi="Times New Roman" w:cs="Times New Roman"/>
          <w:b/>
          <w:bCs/>
          <w:kern w:val="0"/>
          <w:lang w:eastAsia="en-GB"/>
          <w14:ligatures w14:val="none"/>
        </w:rPr>
        <w:t>socialnih veščin in aplikacije znanja</w:t>
      </w:r>
      <w:r w:rsidRPr="00B92478">
        <w:rPr>
          <w:rFonts w:ascii="Times New Roman" w:eastAsia="Times New Roman" w:hAnsi="Times New Roman" w:cs="Times New Roman"/>
          <w:kern w:val="0"/>
          <w:lang w:eastAsia="en-GB"/>
          <w14:ligatures w14:val="none"/>
        </w:rPr>
        <w:t> EL omogoča razvoj interpersonalnih spretnosti, timskega dela in državljanske odgovornosti (Borden, 2007; Campbell in Sasnett, 2011; Richards in Levesque-Bristol, 2016). Kvalitativne analize izkušenj odraslih potrjujejo, da udeleženci poročajo o izboljšanju reševanja problemov in povečani samozavesti pri aplikaciji vsebin v realnem svetu (Schwehm idr., 2017; Sahni in Chilton, 2025). Dodatno vrednost predstavljajo povečane priložnosti za mreženje (</w:t>
      </w:r>
      <w:r w:rsidRPr="00B92478">
        <w:rPr>
          <w:rFonts w:ascii="Times New Roman" w:eastAsia="Times New Roman" w:hAnsi="Times New Roman" w:cs="Times New Roman"/>
          <w:i/>
          <w:iCs/>
          <w:kern w:val="0"/>
          <w:lang w:eastAsia="en-GB"/>
          <w14:ligatures w14:val="none"/>
        </w:rPr>
        <w:t>networking</w:t>
      </w:r>
      <w:r w:rsidRPr="00B92478">
        <w:rPr>
          <w:rFonts w:ascii="Times New Roman" w:eastAsia="Times New Roman" w:hAnsi="Times New Roman" w:cs="Times New Roman"/>
          <w:kern w:val="0"/>
          <w:lang w:eastAsia="en-GB"/>
          <w14:ligatures w14:val="none"/>
        </w:rPr>
        <w:t>), zlasti pri fizičnih projektih, kar odraslim odpira nove karierne poti (Sahni in Chilton, 2025).</w:t>
      </w:r>
    </w:p>
    <w:p w14:paraId="7363FBD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5.3. Primerjalna analiza modalnosti izvedbe (On-site vs. Online)</w:t>
      </w:r>
    </w:p>
    <w:p w14:paraId="5DC293C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Zaradi porasta spletnega izobraževanja in povečanega vpisa odraslih študentov (Ross-Gordon, 2011) postaja vprašanje primerljivosti učnih izidov med fizično (</w:t>
      </w:r>
      <w:r w:rsidRPr="00B92478">
        <w:rPr>
          <w:rFonts w:ascii="Times New Roman" w:eastAsia="Times New Roman" w:hAnsi="Times New Roman" w:cs="Times New Roman"/>
          <w:i/>
          <w:iCs/>
          <w:kern w:val="0"/>
          <w:lang w:eastAsia="en-GB"/>
          <w14:ligatures w14:val="none"/>
        </w:rPr>
        <w:t>on-site</w:t>
      </w:r>
      <w:r w:rsidRPr="00B92478">
        <w:rPr>
          <w:rFonts w:ascii="Times New Roman" w:eastAsia="Times New Roman" w:hAnsi="Times New Roman" w:cs="Times New Roman"/>
          <w:kern w:val="0"/>
          <w:lang w:eastAsia="en-GB"/>
          <w14:ligatures w14:val="none"/>
        </w:rPr>
        <w:t>) in spletno (</w:t>
      </w:r>
      <w:r w:rsidRPr="00B92478">
        <w:rPr>
          <w:rFonts w:ascii="Times New Roman" w:eastAsia="Times New Roman" w:hAnsi="Times New Roman" w:cs="Times New Roman"/>
          <w:i/>
          <w:iCs/>
          <w:kern w:val="0"/>
          <w:lang w:eastAsia="en-GB"/>
          <w14:ligatures w14:val="none"/>
        </w:rPr>
        <w:t>online</w:t>
      </w:r>
      <w:r w:rsidRPr="00B92478">
        <w:rPr>
          <w:rFonts w:ascii="Times New Roman" w:eastAsia="Times New Roman" w:hAnsi="Times New Roman" w:cs="Times New Roman"/>
          <w:kern w:val="0"/>
          <w:lang w:eastAsia="en-GB"/>
          <w14:ligatures w14:val="none"/>
        </w:rPr>
        <w:t>) izvedbo izkustvenega učenja ključno. Schwehm idr. (2017) so izvedli študijo na vzorcu 112 odraslih študentov z namenom primerjave učinkovitosti obeh modalnosti, saj spletno učenje s služenjem (</w:t>
      </w:r>
      <w:r w:rsidRPr="00B92478">
        <w:rPr>
          <w:rFonts w:ascii="Times New Roman" w:eastAsia="Times New Roman" w:hAnsi="Times New Roman" w:cs="Times New Roman"/>
          <w:i/>
          <w:iCs/>
          <w:kern w:val="0"/>
          <w:lang w:eastAsia="en-GB"/>
          <w14:ligatures w14:val="none"/>
        </w:rPr>
        <w:t>e-service-learning</w:t>
      </w:r>
      <w:r w:rsidRPr="00B92478">
        <w:rPr>
          <w:rFonts w:ascii="Times New Roman" w:eastAsia="Times New Roman" w:hAnsi="Times New Roman" w:cs="Times New Roman"/>
          <w:kern w:val="0"/>
          <w:lang w:eastAsia="en-GB"/>
          <w14:ligatures w14:val="none"/>
        </w:rPr>
        <w:t>) povečuje dostopnost za tiste s kompleksnimi urniki.</w:t>
      </w:r>
    </w:p>
    <w:p w14:paraId="0CABCCD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Kvantitativna analiza šestih učnih izidov (kritično mišljenje, komunikacija, kariera in timsko delo, državljanska odgovornost, globalno razumevanje, akademski razvoj) je z uporabo ANOVA testa razkrila zanimive rezultate. Statistično značilna razlika je bila ugotovljena le pri eni dimenziji: </w:t>
      </w:r>
      <w:r w:rsidRPr="00B92478">
        <w:rPr>
          <w:rFonts w:ascii="Times New Roman" w:eastAsia="Times New Roman" w:hAnsi="Times New Roman" w:cs="Times New Roman"/>
          <w:b/>
          <w:bCs/>
          <w:kern w:val="0"/>
          <w:lang w:eastAsia="en-GB"/>
          <w14:ligatures w14:val="none"/>
        </w:rPr>
        <w:t>državljanski odgovornosti</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civic responsibility</w:t>
      </w:r>
      <w:r w:rsidRPr="00B92478">
        <w:rPr>
          <w:rFonts w:ascii="Times New Roman" w:eastAsia="Times New Roman" w:hAnsi="Times New Roman" w:cs="Times New Roman"/>
          <w:kern w:val="0"/>
          <w:lang w:eastAsia="en-GB"/>
          <w14:ligatures w14:val="none"/>
        </w:rPr>
        <w:t>). Študenti, ki so sodelovali pri fizičnem služenju, so poročali o višjem doseganju izidov na tem področju kot njihovi spletni kolegi (Schwehm idr., 2017).</w:t>
      </w:r>
    </w:p>
    <w:p w14:paraId="426E1C89" w14:textId="0C5343B8" w:rsid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Vendar pa je ključna ugotovitev študije ta, da v skupnem doseganju učnih izidov ali v katerikoli drugi individualni podkategoriji (vključno s kritičnim mišljenjem in komunikacijo) </w:t>
      </w:r>
      <w:r w:rsidRPr="00B92478">
        <w:rPr>
          <w:rFonts w:ascii="Times New Roman" w:eastAsia="Times New Roman" w:hAnsi="Times New Roman" w:cs="Times New Roman"/>
          <w:b/>
          <w:bCs/>
          <w:kern w:val="0"/>
          <w:lang w:eastAsia="en-GB"/>
          <w14:ligatures w14:val="none"/>
        </w:rPr>
        <w:t>ni bilo statistično značilnih razlik</w:t>
      </w:r>
      <w:r w:rsidRPr="00B92478">
        <w:rPr>
          <w:rFonts w:ascii="Times New Roman" w:eastAsia="Times New Roman" w:hAnsi="Times New Roman" w:cs="Times New Roman"/>
          <w:kern w:val="0"/>
          <w:lang w:eastAsia="en-GB"/>
          <w14:ligatures w14:val="none"/>
        </w:rPr>
        <w:t> med on-site in online modalnostjo (Schwehm idr., 2017). Analiza kvalitativnih podatkov je dodatno potrdila, da so si izkušnje študentov v obeh skupinah v veliki meri podobne, pri čemer so prevladovale teme reševanja problemov, aplikacije vsebin in povečane samozavesti. Udeleženci obeh skupin so poročali tudi o povečani vključenosti in zavesti o skupnosti. Zaključek raziskave je, da e-service-learning predstavlja izvedljivo in vzdržno možnost za vključujoče učenje, saj odraslim študentom omogoča doseganje primerljivih učnih rezultatov ne glede na fizično lokacijo izvedbe (Schwehm idr., 2017).</w:t>
      </w:r>
    </w:p>
    <w:p w14:paraId="7159A09D" w14:textId="77777777" w:rsidR="00B92478" w:rsidRDefault="00B9247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31AC809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lastRenderedPageBreak/>
        <w:t>6. Dialektika ovir in strategije didaktične intervencije</w:t>
      </w:r>
    </w:p>
    <w:p w14:paraId="41CEC22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Kljub empirični superiornosti in temeljni usklajenosti izkustvenega učenja (EL) z andragoškimi načeli (Knowles, 1981, v Falasca, 2011; Schwehm idr., 2017), ki smo ju izkazali v predhodnih poglavjih, se njegova celovita implementacija v izobraževalno praksi odraslih sooča s kompleksnim spektrom ovir. V andragoški teoriji te ovire tradicionalno kategoriziramo v zunanje oziroma situacijske ter notranje oziroma dispozicijske (Falasca, 2011; Merriam in Caffarella, 1999, v Falasca, 2011). V tem poglavju analiziramo naravo teh ovir ter predlagamo strateške didaktične intervencije za njihovo premagovanje, s posebnim poudarkom na zaščiti refleksivnega procesa.</w:t>
      </w:r>
    </w:p>
    <w:p w14:paraId="33FB381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6.1. Analiza zunanjih (situacijskih) ovir</w:t>
      </w:r>
    </w:p>
    <w:p w14:paraId="47A2E59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Situacijske ovire so opredeljene kot dejavniki, ki izvirajo iz posameznikovega življenjskega konteksta in so večinoma zunaj njegovega neposrednega nadzora, vendar bistveno vplivajo na zmožnost sodelovanja in koncentracije v učnem procesu (Johnstone in Rivera, 1965, v Falasca, 2011).</w:t>
      </w:r>
    </w:p>
    <w:p w14:paraId="4F4E2CD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Najbolj pervazivna zunanja ovira v izobraževanju odraslih je nedvomno </w:t>
      </w:r>
      <w:r w:rsidRPr="00B92478">
        <w:rPr>
          <w:rFonts w:ascii="Times New Roman" w:eastAsia="Times New Roman" w:hAnsi="Times New Roman" w:cs="Times New Roman"/>
          <w:b/>
          <w:bCs/>
          <w:kern w:val="0"/>
          <w:lang w:eastAsia="en-GB"/>
          <w14:ligatures w14:val="none"/>
        </w:rPr>
        <w:t>časovna in finančna stiska</w:t>
      </w:r>
      <w:r w:rsidRPr="00B92478">
        <w:rPr>
          <w:rFonts w:ascii="Times New Roman" w:eastAsia="Times New Roman" w:hAnsi="Times New Roman" w:cs="Times New Roman"/>
          <w:kern w:val="0"/>
          <w:lang w:eastAsia="en-GB"/>
          <w14:ligatures w14:val="none"/>
        </w:rPr>
        <w:t> (Falasca, 2011; Inspired eLearning, b. d., v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Odrasli učenci so vpeti v kompleksne urnike, ki zahtevajo nenehno usklajevanje poklicnih obveznosti, družinskih odgovornosti in osebnih zadev (Inspired eLearning, b. d., v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Schwehm idr., 2017). Ta kronična omejitev časa je pogosto identificirana kot primarni razlog, da se odrasli izogibajo formalnemu usposabljanju (Sahni in Chilton, 2025;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Ilustrativen primer tega fenomena nudi študija o usvajanju orodij umetne inteligence (UI), ki je razkrila, da je kar 7 od 10 udeležencev izrecno ignoriralo uradne videoposnetke za uvajanje, pri čemer so prav časovne omejitve navedli kot ključni determinanti takšnega vedenja (Sahni in Chilton, 2025;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w:t>
      </w:r>
    </w:p>
    <w:p w14:paraId="051B184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Poleg časovnih pritiskov se odrasli soočajo z </w:t>
      </w:r>
      <w:r w:rsidRPr="00B92478">
        <w:rPr>
          <w:rFonts w:ascii="Times New Roman" w:eastAsia="Times New Roman" w:hAnsi="Times New Roman" w:cs="Times New Roman"/>
          <w:b/>
          <w:bCs/>
          <w:kern w:val="0"/>
          <w:lang w:eastAsia="en-GB"/>
          <w14:ligatures w14:val="none"/>
        </w:rPr>
        <w:t>logističnimi ovirami in vprašanjem dostopnosti</w:t>
      </w:r>
      <w:r w:rsidRPr="00B92478">
        <w:rPr>
          <w:rFonts w:ascii="Times New Roman" w:eastAsia="Times New Roman" w:hAnsi="Times New Roman" w:cs="Times New Roman"/>
          <w:kern w:val="0"/>
          <w:lang w:eastAsia="en-GB"/>
          <w14:ligatures w14:val="none"/>
        </w:rPr>
        <w:t>. Zaradi kompleksnega usklajevanja obveznosti imajo pogosto omejen dostop do fizičnih lokacij, kjer se izvajajo programi izkustvenega učenja, kot je denimo terensko učenje s služenjem (</w:t>
      </w:r>
      <w:r w:rsidRPr="00B92478">
        <w:rPr>
          <w:rFonts w:ascii="Times New Roman" w:eastAsia="Times New Roman" w:hAnsi="Times New Roman" w:cs="Times New Roman"/>
          <w:i/>
          <w:iCs/>
          <w:kern w:val="0"/>
          <w:lang w:eastAsia="en-GB"/>
          <w14:ligatures w14:val="none"/>
        </w:rPr>
        <w:t>on-site service-learning</w:t>
      </w:r>
      <w:r w:rsidRPr="00B92478">
        <w:rPr>
          <w:rFonts w:ascii="Times New Roman" w:eastAsia="Times New Roman" w:hAnsi="Times New Roman" w:cs="Times New Roman"/>
          <w:kern w:val="0"/>
          <w:lang w:eastAsia="en-GB"/>
          <w14:ligatures w14:val="none"/>
        </w:rPr>
        <w:t>) (Schwehm idr., 2017). Ta prostorska omejitev je neposredno vplivala na razvoj in rast digitalnih modelov, kot je e-service-learning, ki omogočajo dostop do izkustvenih priložnosti zunaj tradicionalnih institucionalnih okolij (Schwehm idr., 2017).</w:t>
      </w:r>
    </w:p>
    <w:p w14:paraId="7B7F7CB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Tretji vidik situacijskih ovir se nanaša na </w:t>
      </w:r>
      <w:r w:rsidRPr="00B92478">
        <w:rPr>
          <w:rFonts w:ascii="Times New Roman" w:eastAsia="Times New Roman" w:hAnsi="Times New Roman" w:cs="Times New Roman"/>
          <w:b/>
          <w:bCs/>
          <w:kern w:val="0"/>
          <w:lang w:eastAsia="en-GB"/>
          <w14:ligatures w14:val="none"/>
        </w:rPr>
        <w:t>spremembe v zdravju in socialnih vlogah</w:t>
      </w:r>
      <w:r w:rsidRPr="00B92478">
        <w:rPr>
          <w:rFonts w:ascii="Times New Roman" w:eastAsia="Times New Roman" w:hAnsi="Times New Roman" w:cs="Times New Roman"/>
          <w:kern w:val="0"/>
          <w:lang w:eastAsia="en-GB"/>
          <w14:ligatures w14:val="none"/>
        </w:rPr>
        <w:t>. Na zmožnost učenja odraslih lahko negativno vplivajo fiziološke spremembe, kot sta bolečina ali utrujenost pri kroničnih boleznih, kar zmanjšuje razpoložljivo energijo in motivacijo za kognitivni napor (Merriam in Caffarella, 1999, v Falasca, 2011). Prav tako lahko drastične spremembe v družinskih ali delovnih vlogah začasno ali trajno onemogočijo udeležbo v izobraževalnih procesih (Falasca, 2011).</w:t>
      </w:r>
    </w:p>
    <w:p w14:paraId="64E13EC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6.2. Analiza notranjih (dispozicijskih) ovir</w:t>
      </w:r>
    </w:p>
    <w:p w14:paraId="3032CD6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Če situacijske ovire preprečujejo fizični dostop do izobraževanja, notranje ali dispozicijske ovire preprečujejo psihološko angažiranost. Te ovire so povezane z osebnimi stališči, utrjenimi miselnimi vzorci in čustvenimi stanji (Merriam in Caffarella, 1999, v Falasca, 2011).</w:t>
      </w:r>
    </w:p>
    <w:p w14:paraId="27FE081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Pogosta ovira je </w:t>
      </w:r>
      <w:r w:rsidRPr="00B92478">
        <w:rPr>
          <w:rFonts w:ascii="Times New Roman" w:eastAsia="Times New Roman" w:hAnsi="Times New Roman" w:cs="Times New Roman"/>
          <w:b/>
          <w:bCs/>
          <w:kern w:val="0"/>
          <w:lang w:eastAsia="en-GB"/>
          <w14:ligatures w14:val="none"/>
        </w:rPr>
        <w:t>anksioznost in pomanjkanje samozavesti</w:t>
      </w:r>
      <w:r w:rsidRPr="00B92478">
        <w:rPr>
          <w:rFonts w:ascii="Times New Roman" w:eastAsia="Times New Roman" w:hAnsi="Times New Roman" w:cs="Times New Roman"/>
          <w:kern w:val="0"/>
          <w:lang w:eastAsia="en-GB"/>
          <w14:ligatures w14:val="none"/>
        </w:rPr>
        <w:t>. Odrasli se pogosto soočajo z internaliziranim dvomom o lastni akademski sposobnosti in strahom pred neuspehom (Inspired eLearning, b. d., v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Mnogi posamezniki, ki se po dolgih letih vračajo v izobraževalni sistem, dvomijo v svojo zmožnost ponovnega učenja (Pappas, 2025). Te občutke pogosto krepijo pretekle negativne percepcije šolanja ali trdno zakoreninjeno prepričanje, da so "prestari za učenje" (Falasca, 2011).</w:t>
      </w:r>
    </w:p>
    <w:p w14:paraId="5788110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Ena izmed najbolj subtilnih, a kognitivno najbolj zaviralnih ovir, je </w:t>
      </w:r>
      <w:r w:rsidRPr="00B92478">
        <w:rPr>
          <w:rFonts w:ascii="Times New Roman" w:eastAsia="Times New Roman" w:hAnsi="Times New Roman" w:cs="Times New Roman"/>
          <w:b/>
          <w:bCs/>
          <w:kern w:val="0"/>
          <w:lang w:eastAsia="en-GB"/>
          <w14:ligatures w14:val="none"/>
        </w:rPr>
        <w:t>kognitivna togost</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cognitive rigidity</w:t>
      </w:r>
      <w:r w:rsidRPr="00B92478">
        <w:rPr>
          <w:rFonts w:ascii="Times New Roman" w:eastAsia="Times New Roman" w:hAnsi="Times New Roman" w:cs="Times New Roman"/>
          <w:kern w:val="0"/>
          <w:lang w:eastAsia="en-GB"/>
          <w14:ligatures w14:val="none"/>
        </w:rPr>
        <w:t>) (Falasca, 2011). Odrasli so nagnjeni k vztrajanju pri "pervazivnih mitih", med katerimi prevladuje zmotna miselnost, da je učenje zgolj proces pomnjenja na pamet (</w:t>
      </w:r>
      <w:r w:rsidRPr="00B92478">
        <w:rPr>
          <w:rFonts w:ascii="Times New Roman" w:eastAsia="Times New Roman" w:hAnsi="Times New Roman" w:cs="Times New Roman"/>
          <w:i/>
          <w:iCs/>
          <w:kern w:val="0"/>
          <w:lang w:eastAsia="en-GB"/>
          <w14:ligatures w14:val="none"/>
        </w:rPr>
        <w:t>rote memorization</w:t>
      </w:r>
      <w:r w:rsidRPr="00B92478">
        <w:rPr>
          <w:rFonts w:ascii="Times New Roman" w:eastAsia="Times New Roman" w:hAnsi="Times New Roman" w:cs="Times New Roman"/>
          <w:kern w:val="0"/>
          <w:lang w:eastAsia="en-GB"/>
          <w14:ligatures w14:val="none"/>
        </w:rPr>
        <w:t>) in ne proces razumevanja več perspektiv (Langer, 1997, v Falasca, 2011). Ta togost se manifestira v tendenci, da se odrasli pri soočanju z novimi informacijami zanašajo na "stare kategorije" in se izogibajo zaznavanju dražljajev kot novih, kar onemogoča transformativno učenje (Langer, 1997, v Falasca, 2011).</w:t>
      </w:r>
    </w:p>
    <w:p w14:paraId="1A01EA6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Kognitivna togost v kombinaciji s časovnim pritiskom vodi v </w:t>
      </w:r>
      <w:r w:rsidRPr="00B92478">
        <w:rPr>
          <w:rFonts w:ascii="Times New Roman" w:eastAsia="Times New Roman" w:hAnsi="Times New Roman" w:cs="Times New Roman"/>
          <w:b/>
          <w:bCs/>
          <w:kern w:val="0"/>
          <w:lang w:eastAsia="en-GB"/>
          <w14:ligatures w14:val="none"/>
        </w:rPr>
        <w:t>pomanjkanje potrpežljivosti za eksperimentiranje</w:t>
      </w:r>
      <w:r w:rsidRPr="00B92478">
        <w:rPr>
          <w:rFonts w:ascii="Times New Roman" w:eastAsia="Times New Roman" w:hAnsi="Times New Roman" w:cs="Times New Roman"/>
          <w:kern w:val="0"/>
          <w:lang w:eastAsia="en-GB"/>
          <w14:ligatures w14:val="none"/>
        </w:rPr>
        <w:t>(Sahni in Chilton, 2025). Empirični podatki o učenju novih orodij UI kažejo, da udeleženci hitro postanejo frustrirani in opustijo uporabo funkcije že po enem samem neuspešnem poskusu, namesto da bi iterirali postopek ali iskali dodatno vodstvo (Sahni in Chilton, 2025). Ta pojav ima resne posledice za cikel izkustvenega učenja. Pritisk sili odrasle, da se osredotočijo izključno na hitro fazo </w:t>
      </w:r>
      <w:r w:rsidRPr="00B92478">
        <w:rPr>
          <w:rFonts w:ascii="Times New Roman" w:eastAsia="Times New Roman" w:hAnsi="Times New Roman" w:cs="Times New Roman"/>
          <w:b/>
          <w:bCs/>
          <w:kern w:val="0"/>
          <w:lang w:eastAsia="en-GB"/>
          <w14:ligatures w14:val="none"/>
        </w:rPr>
        <w:t>Aktivnega Eksperimentiranja (AE)</w:t>
      </w:r>
      <w:r w:rsidRPr="00B92478">
        <w:rPr>
          <w:rFonts w:ascii="Times New Roman" w:eastAsia="Times New Roman" w:hAnsi="Times New Roman" w:cs="Times New Roman"/>
          <w:kern w:val="0"/>
          <w:lang w:eastAsia="en-GB"/>
          <w14:ligatures w14:val="none"/>
        </w:rPr>
        <w:t> (metoda poskusa in napake) ter sistematično ignorirajo ključno fazo </w:t>
      </w:r>
      <w:r w:rsidRPr="00B92478">
        <w:rPr>
          <w:rFonts w:ascii="Times New Roman" w:eastAsia="Times New Roman" w:hAnsi="Times New Roman" w:cs="Times New Roman"/>
          <w:b/>
          <w:bCs/>
          <w:kern w:val="0"/>
          <w:lang w:eastAsia="en-GB"/>
          <w14:ligatures w14:val="none"/>
        </w:rPr>
        <w:t>Refleksivnega Opazovanja (RO)</w:t>
      </w:r>
      <w:r w:rsidRPr="00B92478">
        <w:rPr>
          <w:rFonts w:ascii="Times New Roman" w:eastAsia="Times New Roman" w:hAnsi="Times New Roman" w:cs="Times New Roman"/>
          <w:kern w:val="0"/>
          <w:lang w:eastAsia="en-GB"/>
          <w14:ligatures w14:val="none"/>
        </w:rPr>
        <w:t>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Posledica tega je degeneracija izkustvenega učenja v neučinkovito mehanično ponavljanje brez pridobitve globljih konceptov, kar preprečuje doseganje učenja z dvojno zanko (</w:t>
      </w:r>
      <w:r w:rsidRPr="00B92478">
        <w:rPr>
          <w:rFonts w:ascii="Times New Roman" w:eastAsia="Times New Roman" w:hAnsi="Times New Roman" w:cs="Times New Roman"/>
          <w:i/>
          <w:iCs/>
          <w:kern w:val="0"/>
          <w:lang w:eastAsia="en-GB"/>
          <w14:ligatures w14:val="none"/>
        </w:rPr>
        <w:t>Double-Loop Learning</w:t>
      </w:r>
      <w:r w:rsidRPr="00B92478">
        <w:rPr>
          <w:rFonts w:ascii="Times New Roman" w:eastAsia="Times New Roman" w:hAnsi="Times New Roman" w:cs="Times New Roman"/>
          <w:kern w:val="0"/>
          <w:lang w:eastAsia="en-GB"/>
          <w14:ligatures w14:val="none"/>
        </w:rPr>
        <w:t>) (Argyris in Schön, 1978, v HEE London, b. d.;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w:t>
      </w:r>
    </w:p>
    <w:p w14:paraId="568A0F0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b/>
          <w:bCs/>
          <w:kern w:val="0"/>
          <w:lang w:eastAsia="en-GB"/>
          <w14:ligatures w14:val="none"/>
        </w:rPr>
        <w:t>6.3. Strategije za premagovanje ovir in zaščita refleksije</w:t>
      </w:r>
    </w:p>
    <w:p w14:paraId="096EDCA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 učinkovito premostitev opisanih ovir morajo andragoški pedagogi redefinirati svojo vlogo. Ne nastopajo več zgolj kot posredovalci znanja, temveč kot moderatorji, ki ustvarjajo varno, podporno in fleksibilno učno okolje (Falasca, 2011).</w:t>
      </w:r>
    </w:p>
    <w:p w14:paraId="7D12CD9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Pri naslavljanju </w:t>
      </w:r>
      <w:r w:rsidRPr="00B92478">
        <w:rPr>
          <w:rFonts w:ascii="Times New Roman" w:eastAsia="Times New Roman" w:hAnsi="Times New Roman" w:cs="Times New Roman"/>
          <w:b/>
          <w:bCs/>
          <w:kern w:val="0"/>
          <w:lang w:eastAsia="en-GB"/>
          <w14:ligatures w14:val="none"/>
        </w:rPr>
        <w:t>situacijskih ovir</w:t>
      </w:r>
      <w:r w:rsidRPr="00B92478">
        <w:rPr>
          <w:rFonts w:ascii="Times New Roman" w:eastAsia="Times New Roman" w:hAnsi="Times New Roman" w:cs="Times New Roman"/>
          <w:kern w:val="0"/>
          <w:lang w:eastAsia="en-GB"/>
          <w14:ligatures w14:val="none"/>
        </w:rPr>
        <w:t> sta ključni </w:t>
      </w:r>
      <w:r w:rsidRPr="00B92478">
        <w:rPr>
          <w:rFonts w:ascii="Times New Roman" w:eastAsia="Times New Roman" w:hAnsi="Times New Roman" w:cs="Times New Roman"/>
          <w:b/>
          <w:bCs/>
          <w:kern w:val="0"/>
          <w:lang w:eastAsia="en-GB"/>
          <w14:ligatures w14:val="none"/>
        </w:rPr>
        <w:t>prilagodljivost in podpora</w:t>
      </w:r>
      <w:r w:rsidRPr="00B92478">
        <w:rPr>
          <w:rFonts w:ascii="Times New Roman" w:eastAsia="Times New Roman" w:hAnsi="Times New Roman" w:cs="Times New Roman"/>
          <w:kern w:val="0"/>
          <w:lang w:eastAsia="en-GB"/>
          <w14:ligatures w14:val="none"/>
        </w:rPr>
        <w:t>. Falasca (2011) poudarja, da je treba podporo učencem obravnavati kot njihovo pravico in ne kot opcijo. Institucije morajo zagotoviti fleksibilnost, ki ustreza urnikom odraslih, kar se doseže s ponudbo samo-vodenega učenja (</w:t>
      </w:r>
      <w:r w:rsidRPr="00B92478">
        <w:rPr>
          <w:rFonts w:ascii="Times New Roman" w:eastAsia="Times New Roman" w:hAnsi="Times New Roman" w:cs="Times New Roman"/>
          <w:i/>
          <w:iCs/>
          <w:kern w:val="0"/>
          <w:lang w:eastAsia="en-GB"/>
          <w14:ligatures w14:val="none"/>
        </w:rPr>
        <w:t>self-paced</w:t>
      </w:r>
      <w:r w:rsidRPr="00B92478">
        <w:rPr>
          <w:rFonts w:ascii="Times New Roman" w:eastAsia="Times New Roman" w:hAnsi="Times New Roman" w:cs="Times New Roman"/>
          <w:kern w:val="0"/>
          <w:lang w:eastAsia="en-GB"/>
          <w14:ligatures w14:val="none"/>
        </w:rPr>
        <w:t>), spletnih tečajev in mešanih formatov (Park University, 2025). V tem kontekstu je model e-service-learninga posebej pomemben za povečanje dostopa do izkustvenih priložnosti za tiste študente, ki so fizično dislocirani ali časovno omejeni (Schwehm idr., 2017).</w:t>
      </w:r>
    </w:p>
    <w:p w14:paraId="556660D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Za premagovanje </w:t>
      </w:r>
      <w:r w:rsidRPr="00B92478">
        <w:rPr>
          <w:rFonts w:ascii="Times New Roman" w:eastAsia="Times New Roman" w:hAnsi="Times New Roman" w:cs="Times New Roman"/>
          <w:b/>
          <w:bCs/>
          <w:kern w:val="0"/>
          <w:lang w:eastAsia="en-GB"/>
          <w14:ligatures w14:val="none"/>
        </w:rPr>
        <w:t>dispozicijskih ovir</w:t>
      </w:r>
      <w:r w:rsidRPr="00B92478">
        <w:rPr>
          <w:rFonts w:ascii="Times New Roman" w:eastAsia="Times New Roman" w:hAnsi="Times New Roman" w:cs="Times New Roman"/>
          <w:kern w:val="0"/>
          <w:lang w:eastAsia="en-GB"/>
          <w14:ligatures w14:val="none"/>
        </w:rPr>
        <w:t> je nujno ustvarjanje </w:t>
      </w:r>
      <w:r w:rsidRPr="00B92478">
        <w:rPr>
          <w:rFonts w:ascii="Times New Roman" w:eastAsia="Times New Roman" w:hAnsi="Times New Roman" w:cs="Times New Roman"/>
          <w:b/>
          <w:bCs/>
          <w:kern w:val="0"/>
          <w:lang w:eastAsia="en-GB"/>
          <w14:ligatures w14:val="none"/>
        </w:rPr>
        <w:t>varnega in problemsko usmerjenega okolja</w:t>
      </w:r>
      <w:r w:rsidRPr="00B92478">
        <w:rPr>
          <w:rFonts w:ascii="Times New Roman" w:eastAsia="Times New Roman" w:hAnsi="Times New Roman" w:cs="Times New Roman"/>
          <w:kern w:val="0"/>
          <w:lang w:eastAsia="en-GB"/>
          <w14:ligatures w14:val="none"/>
        </w:rPr>
        <w:t xml:space="preserve">. Ustvariti je treba prijazno in odprto klimo, ki omogoča udeležencem, </w:t>
      </w:r>
      <w:r w:rsidRPr="00B92478">
        <w:rPr>
          <w:rFonts w:ascii="Times New Roman" w:eastAsia="Times New Roman" w:hAnsi="Times New Roman" w:cs="Times New Roman"/>
          <w:kern w:val="0"/>
          <w:lang w:eastAsia="en-GB"/>
          <w14:ligatures w14:val="none"/>
        </w:rPr>
        <w:lastRenderedPageBreak/>
        <w:t>da se počutijo varno in se lahko vključijo v pozitivno izkušnjo (Falasca, 2011). Ker so odrasli primarno motivirani z notranjimi dejavniki (Pappas, 2025), morajo programi aktivno krepiti to motivacijo s poudarkom na relevantnosti učenja, reševanju realnih problemov in samoučinkovitosti (</w:t>
      </w:r>
      <w:r w:rsidRPr="00B92478">
        <w:rPr>
          <w:rFonts w:ascii="Times New Roman" w:eastAsia="Times New Roman" w:hAnsi="Times New Roman" w:cs="Times New Roman"/>
          <w:i/>
          <w:iCs/>
          <w:kern w:val="0"/>
          <w:lang w:eastAsia="en-GB"/>
          <w14:ligatures w14:val="none"/>
        </w:rPr>
        <w:t>self-efficacy</w:t>
      </w:r>
      <w:r w:rsidRPr="00B92478">
        <w:rPr>
          <w:rFonts w:ascii="Times New Roman" w:eastAsia="Times New Roman" w:hAnsi="Times New Roman" w:cs="Times New Roman"/>
          <w:kern w:val="0"/>
          <w:lang w:eastAsia="en-GB"/>
          <w14:ligatures w14:val="none"/>
        </w:rPr>
        <w:t>) (Park University, 2025; Inspired eLearning, b. d., v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w:t>
      </w:r>
    </w:p>
    <w:p w14:paraId="539EE8E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 interakciji z učenci morajo andragoški pedagogi delovati kot partnerji v dialogu med enakimi (Falasca, 2011). Uporaba </w:t>
      </w:r>
      <w:r w:rsidRPr="00B92478">
        <w:rPr>
          <w:rFonts w:ascii="Times New Roman" w:eastAsia="Times New Roman" w:hAnsi="Times New Roman" w:cs="Times New Roman"/>
          <w:b/>
          <w:bCs/>
          <w:kern w:val="0"/>
          <w:lang w:eastAsia="en-GB"/>
          <w14:ligatures w14:val="none"/>
        </w:rPr>
        <w:t>kritičnega, a konstruktivnega spraševanja</w:t>
      </w:r>
      <w:r w:rsidRPr="00B92478">
        <w:rPr>
          <w:rFonts w:ascii="Times New Roman" w:eastAsia="Times New Roman" w:hAnsi="Times New Roman" w:cs="Times New Roman"/>
          <w:kern w:val="0"/>
          <w:lang w:eastAsia="en-GB"/>
          <w14:ligatures w14:val="none"/>
        </w:rPr>
        <w:t> in sposobnost reflektivnega poslušanja (Action Learning Associates, b. d.) pomagata pri prebijanju kognitivne togosti (Falasca, 2011). Pomemben element strategije je tudi koncept </w:t>
      </w:r>
      <w:r w:rsidRPr="00B92478">
        <w:rPr>
          <w:rFonts w:ascii="Times New Roman" w:eastAsia="Times New Roman" w:hAnsi="Times New Roman" w:cs="Times New Roman"/>
          <w:b/>
          <w:bCs/>
          <w:kern w:val="0"/>
          <w:lang w:eastAsia="en-GB"/>
          <w14:ligatures w14:val="none"/>
        </w:rPr>
        <w:t>nagrade kot notranje ojačitve</w:t>
      </w:r>
      <w:r w:rsidRPr="00B92478">
        <w:rPr>
          <w:rFonts w:ascii="Times New Roman" w:eastAsia="Times New Roman" w:hAnsi="Times New Roman" w:cs="Times New Roman"/>
          <w:kern w:val="0"/>
          <w:lang w:eastAsia="en-GB"/>
          <w14:ligatures w14:val="none"/>
        </w:rPr>
        <w:t>. Ko odrasli vidijo neposredno korist in nagrado za učenje (Galbraith, 1990, v Falasca, 2011), se krepi njihova motivacija. Ker uspešna izkustvena angažiranost povečuje samozavest in kompetence, služi sam proces kot samouveljavljajoča notranja nagrada, ki učinkovito premaguje dvom o lastni sposobnosti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Bringle idr., 2010, v Schwehm idr., 2017).</w:t>
      </w:r>
    </w:p>
    <w:p w14:paraId="1259F85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Najpomembnejša strateška intervencija pa je </w:t>
      </w:r>
      <w:r w:rsidRPr="00B92478">
        <w:rPr>
          <w:rFonts w:ascii="Times New Roman" w:eastAsia="Times New Roman" w:hAnsi="Times New Roman" w:cs="Times New Roman"/>
          <w:b/>
          <w:bCs/>
          <w:kern w:val="0"/>
          <w:lang w:eastAsia="en-GB"/>
          <w14:ligatures w14:val="none"/>
        </w:rPr>
        <w:t>zaščita in strukturiranje refleksije</w:t>
      </w:r>
      <w:r w:rsidRPr="00B92478">
        <w:rPr>
          <w:rFonts w:ascii="Times New Roman" w:eastAsia="Times New Roman" w:hAnsi="Times New Roman" w:cs="Times New Roman"/>
          <w:kern w:val="0"/>
          <w:lang w:eastAsia="en-GB"/>
          <w14:ligatures w14:val="none"/>
        </w:rPr>
        <w:t>. Da bi preprečili degeneracijo EL v nepremišljeno delovanje, je nujno metodološko strukturiranje refleksivnega časa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 Uporaba strukturiranih modelov, kot je Gibbsov refleksivni cikel (Gibbs, 1988, v HEE London, b. d.), omogoča učencem sistematično analizo izkušnje, čustev in vzrokov (HEE London, b. d.; Machost in Stains, 2023). Za doseganje kritične refleksije in učenja z dvojno zanko je ključno spodbujanje preizpraševanja temeljnih predpostavk (</w:t>
      </w:r>
      <w:r w:rsidRPr="00B92478">
        <w:rPr>
          <w:rFonts w:ascii="Times New Roman" w:eastAsia="Times New Roman" w:hAnsi="Times New Roman" w:cs="Times New Roman"/>
          <w:i/>
          <w:iCs/>
          <w:kern w:val="0"/>
          <w:lang w:eastAsia="en-GB"/>
          <w14:ligatures w14:val="none"/>
        </w:rPr>
        <w:t>"Zakaj sem to storil na ta način?"</w:t>
      </w:r>
      <w:r w:rsidRPr="00B92478">
        <w:rPr>
          <w:rFonts w:ascii="Times New Roman" w:eastAsia="Times New Roman" w:hAnsi="Times New Roman" w:cs="Times New Roman"/>
          <w:kern w:val="0"/>
          <w:lang w:eastAsia="en-GB"/>
          <w14:ligatures w14:val="none"/>
        </w:rPr>
        <w:t>) (HEE London, b. d.), kar se doseže z orodji, kot so refleksivni dnevniki (Cheng idr., 2025) in analize kritičnih incidentov (</w:t>
      </w:r>
      <w:r w:rsidRPr="00B92478">
        <w:rPr>
          <w:rFonts w:ascii="Times New Roman" w:eastAsia="Times New Roman" w:hAnsi="Times New Roman" w:cs="Times New Roman"/>
          <w:i/>
          <w:iCs/>
          <w:kern w:val="0"/>
          <w:lang w:eastAsia="en-GB"/>
          <w14:ligatures w14:val="none"/>
        </w:rPr>
        <w:t>Analiza Uporabe Izkustvenega Učenja v Izobraževalni Praksi za Odrasle</w:t>
      </w:r>
      <w:r w:rsidRPr="00B92478">
        <w:rPr>
          <w:rFonts w:ascii="Times New Roman" w:eastAsia="Times New Roman" w:hAnsi="Times New Roman" w:cs="Times New Roman"/>
          <w:kern w:val="0"/>
          <w:lang w:eastAsia="en-GB"/>
          <w14:ligatures w14:val="none"/>
        </w:rPr>
        <w:t>, b. d.).</w:t>
      </w:r>
    </w:p>
    <w:p w14:paraId="20988582" w14:textId="30B54E96" w:rsid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Končno velja izkoristiti potencial </w:t>
      </w:r>
      <w:r w:rsidRPr="00B92478">
        <w:rPr>
          <w:rFonts w:ascii="Times New Roman" w:eastAsia="Times New Roman" w:hAnsi="Times New Roman" w:cs="Times New Roman"/>
          <w:b/>
          <w:bCs/>
          <w:kern w:val="0"/>
          <w:lang w:eastAsia="en-GB"/>
          <w14:ligatures w14:val="none"/>
        </w:rPr>
        <w:t>socialnega učenja</w:t>
      </w:r>
      <w:r w:rsidRPr="00B92478">
        <w:rPr>
          <w:rFonts w:ascii="Times New Roman" w:eastAsia="Times New Roman" w:hAnsi="Times New Roman" w:cs="Times New Roman"/>
          <w:kern w:val="0"/>
          <w:lang w:eastAsia="en-GB"/>
          <w14:ligatures w14:val="none"/>
        </w:rPr>
        <w:t>. Glede na to, da strokovnjaki pri usvajanju novih veščin pretežno uporabljajo socialne kanale (Sahni in Chilton, 2025), bi morale organizacije ustvariti okolja, kot so skupnosti prakse (</w:t>
      </w:r>
      <w:r w:rsidRPr="00B92478">
        <w:rPr>
          <w:rFonts w:ascii="Times New Roman" w:eastAsia="Times New Roman" w:hAnsi="Times New Roman" w:cs="Times New Roman"/>
          <w:i/>
          <w:iCs/>
          <w:kern w:val="0"/>
          <w:lang w:eastAsia="en-GB"/>
          <w14:ligatures w14:val="none"/>
        </w:rPr>
        <w:t>communities of practice</w:t>
      </w:r>
      <w:r w:rsidRPr="00B92478">
        <w:rPr>
          <w:rFonts w:ascii="Times New Roman" w:eastAsia="Times New Roman" w:hAnsi="Times New Roman" w:cs="Times New Roman"/>
          <w:kern w:val="0"/>
          <w:lang w:eastAsia="en-GB"/>
          <w14:ligatures w14:val="none"/>
        </w:rPr>
        <w:t>) ali diskusijski forumi. Takšna okolja omogočajo zaposlenim medsebojno deljenje nasvetov in kolaborativno reševanje problemov, kar zmanjšuje frustracije in pospešuje učni proces (Sahni in Chilton, 2025).</w:t>
      </w:r>
    </w:p>
    <w:p w14:paraId="369491D5" w14:textId="77777777" w:rsidR="00B92478" w:rsidRDefault="00B92478">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4EA6F47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7. Viri in literatura</w:t>
      </w:r>
    </w:p>
    <w:p w14:paraId="75FDFE0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Opomba: Seznam virov je urejen po abecednem vrstnem redu in oblikovan v skladu s 7. izdajo standardov APA, prilagojeno slovenskemu pravopisu. Kjer je primerno, so navedene spletne povezave (URL) ali trajni identifikatorji (DOI), pri čemer za njimi ni končne pike.</w:t>
      </w:r>
    </w:p>
    <w:p w14:paraId="2C08441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428FA8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Action Learning Associates. (2018). Reg Revans. Pridobljeno s http://www.actionlearningassociates.co.uk/action-learning/reg-revans/</w:t>
      </w:r>
    </w:p>
    <w:p w14:paraId="431ED9A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1912E7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Adams, M. (2010). The practical primacy of questions in action learning. V R. L. Dilworth in Y. Boshyk (ur.), Action learning and its application (str. 119–130). Palgrave Macmillan.</w:t>
      </w:r>
    </w:p>
    <w:p w14:paraId="09AF7D2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C61A57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Allen, I. E., in Seaman, J. (2010). Class differences: Online education in the United States. Sloan Consortium.</w:t>
      </w:r>
    </w:p>
    <w:p w14:paraId="3915FE6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BCDA16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Allen, I. E., in Seaman, J. (2013). Changing course: Ten years of tracking online education in the United States. Sloan Consortium.</w:t>
      </w:r>
    </w:p>
    <w:p w14:paraId="3AB5495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7CBDB3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Analiza Uporabe Izkustvenega Učenja v Izobraževalni Praksi za Odrasle. (b. d.). [Neobjavljeno poročilo].</w:t>
      </w:r>
    </w:p>
    <w:p w14:paraId="42A668F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51568E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Argyris, C., in Schön, D. A. (1978). Organizational learning: A theory of action perspective. Addison-Wesley.</w:t>
      </w:r>
    </w:p>
    <w:p w14:paraId="21654C7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6334B1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Bandura, A. (1977). Social learning theory. Prentice Hall.</w:t>
      </w:r>
    </w:p>
    <w:p w14:paraId="38D3C33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EF4C80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Bean, J. P., in Metzner, B. S. (1985). A conceptual model of nontraditional undergraduate student attrition. Review of educational Research, 55(4), 485–540.</w:t>
      </w:r>
    </w:p>
    <w:p w14:paraId="7FA9C2F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EA8D66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Billett, S. (2001). Learning in the workplace: Strategies for effective practice. Routledge.</w:t>
      </w:r>
    </w:p>
    <w:p w14:paraId="1E35ACB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C30DCE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Borden, A. W. (2007). The impact of service-learning on ethnocentrism in an intercultural communication. Journal of Applied Communication Research, 35(1), 1–18.</w:t>
      </w:r>
    </w:p>
    <w:p w14:paraId="49964DC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6327AF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Boud, D., Keogh, R., in Walker, D. (1985). Reflection: Turning experience into learning. Routledge.</w:t>
      </w:r>
    </w:p>
    <w:p w14:paraId="79A383D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1056E2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Bringle, R. G., Hatcher, J. A., in McIntosh, R. (2006). Analyzing Morton’s typology of service paradigms and integrity. Michigan Journal of Community Service Learning, 13, 5–15.</w:t>
      </w:r>
    </w:p>
    <w:p w14:paraId="185EA31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1A428B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Bringle, R. G., Hatcher, J. A., in Muthiah, R. N. (2010). The role of service-learning on the retention of first-year students to second year. Michigan Journal of Community Service Learning, 16(2), 38–49.</w:t>
      </w:r>
    </w:p>
    <w:p w14:paraId="11BAA92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0F8319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Burch, G. F., Giambatista, R. C., Batchelor, J. H., Burch, J. J., Hoover, J. D., in Heller, N. (2019). A meta-analysis of the relationship between experiential learning and learning outcomes. Decision Sciences Journal of Innovative Education. https://doi.org/10.1111/dsji.12195</w:t>
      </w:r>
    </w:p>
    <w:p w14:paraId="0C93F6F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3772AD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Campbell, R. J., in Sasnett, B. (2011). Using service learning to teach teamwork and peer learning skills to health services and information management students. Journal of Health Administration Education, 28(2), 95–113.</w:t>
      </w:r>
    </w:p>
    <w:p w14:paraId="2DB264C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FD0D96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Celio, C. I., Durlak, J., in Dymnicki, A. (2011). A meta-analysis of the impact of service-learning on students. Journal of Experiential Education, 34(2), 164–181.</w:t>
      </w:r>
    </w:p>
    <w:p w14:paraId="7A30CCE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D30E81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Chan, C. K. Y. (2023). Assessment for experiential learning. Taylor &amp; Francis.</w:t>
      </w:r>
    </w:p>
    <w:p w14:paraId="1844D37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37026B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Cheng, J., Wu, Y., Huang, L., Wu, Y., in Guan, Y. (2025). Integrating Kolb’s experiential learning theory into nursing education: a four-stage intervention with case analysis, mind maps, reflective journals, and peer simulations for advanced health assessment. Frontiers in Medicine, 12, 1616392. https://doi.org/10.3389/fmed.2025.1616392</w:t>
      </w:r>
    </w:p>
    <w:p w14:paraId="2088EDD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0199BB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Conway, J. M., Amel, E. L., in Gerwien, D. P. (2009). Teaching and learning in the social context: A meta-analysis of service learning’s effects on academic, personal, social, and citizenship outcomes. Teaching of Psychology, 36, 233–245. https://doi.org/10.1080/00986280903172969</w:t>
      </w:r>
    </w:p>
    <w:p w14:paraId="317774F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ECE745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Cross, K. P. (1981). Adults as learners: Increasing participation and facilitating learning. Jossey-Bass.</w:t>
      </w:r>
    </w:p>
    <w:p w14:paraId="6151A37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3F9DE9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Dewey, J. (1938). Experience and education. The MacMillan Company.</w:t>
      </w:r>
    </w:p>
    <w:p w14:paraId="73DDC53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DE4825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Donaldson, J. F., in Graham, S. (1999). A model of college outcomes for adults. Adult education quarterly, 50(1), 24–40.</w:t>
      </w:r>
    </w:p>
    <w:p w14:paraId="6268FA8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05FEC5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Eraut, M. (2004). Informal learning in the workplace. Studies in Continuing Education, 26(2), 247–273. https://doi.org/10.1080/158037042000225245</w:t>
      </w:r>
    </w:p>
    <w:p w14:paraId="2AFB145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D47E06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Falasca, M. (2011). Barriers to adult learning: Bridging the gap. Australian Journal of Adult Learning, 51(3), 583–590.</w:t>
      </w:r>
    </w:p>
    <w:p w14:paraId="49790CB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3E88F0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Felton, P., in Clayton, P. H. (2011). Service-learning. New Directions for Teaching and Learning, 128, 75–84. https://doi.org/10.1002/tl</w:t>
      </w:r>
    </w:p>
    <w:p w14:paraId="4BC4109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BBDD6F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Galbraith, M. W. (ur.). (1990). Adult learning methods. Krieger Publishing Company.</w:t>
      </w:r>
    </w:p>
    <w:p w14:paraId="7CEC6E3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54DEFF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Gibbs, G. (1988). Learning by doing: A guide to teaching and learning methods. Further Education Unit.</w:t>
      </w:r>
    </w:p>
    <w:p w14:paraId="69FB3CB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655AAA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Giles Jr, D. E., in Eyler, J. (1994). The theoretical roots of service-learning in John Dewey: Toward a theory of service-learning. Michigan Journal of Community Service Learning, 1(1), 7.</w:t>
      </w:r>
    </w:p>
    <w:p w14:paraId="7F807E8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F8364F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Hébert, A., in Hauf, P. (2015). Student learning through service learning: Effects on academic development, civic responsibility, interpersonal skills, and practical skills. Active Learning in Higher Education, 16(1), 37–49. https://doi.org/10.1177/1469787415573357</w:t>
      </w:r>
    </w:p>
    <w:p w14:paraId="6EC5936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CB596E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HEE London. (b. d.). Reflective writing - models of reflection and reflective practice. Pridobljeno s https://london.hee.nhs.uk/reflective-writing-models-reflection-and-reflective-practice</w:t>
      </w:r>
    </w:p>
    <w:p w14:paraId="4D6A57A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3B1B60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IFALOfficial. (2012). Action learning – introduction by Reg Revans [Video]. YouTube.</w:t>
      </w:r>
    </w:p>
    <w:p w14:paraId="53A0F6E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12C8C8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Jenkins, A., in Sheehey, P. (2012). A checklist for implementing service-learning in higher education. Journal of Community Engagement and Scholarship, 4(2). Pridobljeno s http://jces.ua.edu/a-checklist-for-implementing-service-learning-in-higher-education/</w:t>
      </w:r>
    </w:p>
    <w:p w14:paraId="0518E38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6DC7D0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Kapp, A. (1833). Platon’s Erziehungslehre, Als Pädagogik Für Die Einzelnen Als Staatspädagogik. Ober Dessen Praktische Philosophie. Verlag von Ferdinand Essmann.</w:t>
      </w:r>
    </w:p>
    <w:p w14:paraId="73B4E24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D59F09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Kolb, D. A. (1984). Experiential learning: Experience as the source of learning and development. Prentice-Hall.</w:t>
      </w:r>
    </w:p>
    <w:p w14:paraId="7E6EFA0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27A315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Knowles, M. S. (1980). The modern practice of adult education: From pedagogy to andragogy (2nd ed.). Cambridge Books.</w:t>
      </w:r>
    </w:p>
    <w:p w14:paraId="24C4826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1CB2CB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Knowles, M. S. (1984). Andragogy in action: Applying modern principles of adult education. Jossey Bass.</w:t>
      </w:r>
    </w:p>
    <w:p w14:paraId="0A7F590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2870E4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Knowles, M. S. (1988). The adult learner: A neglected species. Gulf Publishing.</w:t>
      </w:r>
    </w:p>
    <w:p w14:paraId="223B7E2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F6284A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Knowles, M. S. (2020). The adult learner: The definitive classic in adult education and human resource development. Routledge.</w:t>
      </w:r>
    </w:p>
    <w:p w14:paraId="61875A7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0A5C39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Langer, E. J. (1997). The power of mindful learning. Perseus Publishing.</w:t>
      </w:r>
    </w:p>
    <w:p w14:paraId="124C910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E6597D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Largent, L., in Horinek, J. B. (2008). Community colleges and adult service learners: Evaluating a first-year program to improve implementation. New Directions for Adult and Continuing Education, 118, 37–47.</w:t>
      </w:r>
    </w:p>
    <w:p w14:paraId="3A7EA6B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7CF6AC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Lave, J., in Wenger, E. (1991). Situated learning: Legitimate peripheral participation. Cambridge University Press.</w:t>
      </w:r>
    </w:p>
    <w:p w14:paraId="5B3FAD5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4E95E5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Marsick, V. J., in Watkins, K. E. (1990). Informal and incidental learning in the workplace. Routledge.</w:t>
      </w:r>
    </w:p>
    <w:p w14:paraId="77D4D58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B1025B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McGorry, S. Y. (2012). No significant difference in service learning online. Journal of Asynchronous Learning Networks, 16(4), 45–54.</w:t>
      </w:r>
    </w:p>
    <w:p w14:paraId="75837B3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01B3E2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Merriam, S. B., in Caffarella, R. S. (1999). Learning in adulthood: A comprehensive guide (2nd ed.). Jossey-Bass Publishers.</w:t>
      </w:r>
    </w:p>
    <w:p w14:paraId="402D49F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47A9D9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Mezirow, J. (1978). Perspective transformation. Adult Educ, 28, 100–110.</w:t>
      </w:r>
    </w:p>
    <w:p w14:paraId="0EFC40B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E4B48F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Mezirow, J. (1990). How critical reflection triggers transformative learning. V J. Mezirow (ur.), Fostering critical reflection in adulthood (str. 1–20). Jossey-Bass.</w:t>
      </w:r>
    </w:p>
    <w:p w14:paraId="293A936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734C8E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Mezirow, J. (1997). Transformative learning: theory to practice. New Direc Adult Cont Educ, 1997, 5–12.</w:t>
      </w:r>
    </w:p>
    <w:p w14:paraId="4F0B3502"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BFD5C5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Mukhalalati, B. A., in Taylor, A. (2019). Adult learning theories in context: A quick guide for healthcare professional educators. Sage Open, 6, 2382120519840332. https://doi.org/10.1177/2382120519840332</w:t>
      </w:r>
    </w:p>
    <w:p w14:paraId="41CBCAB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22DDF1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National Center for Education Statistics. (2014). Digest of education statistics: 2014. Pridobljeno s https://nces.ed.gov/programs/digest/d14/ch_3.asp</w:t>
      </w:r>
    </w:p>
    <w:p w14:paraId="74D58B0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F4301B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Neumann, O., Guirguis, K., in Steiner, R. (2024). Exploring artificial intelligence adoption in public organizations: a comparative case study. Public Management Review, 26(1), 114–141. https://doi.org/10.1080/14719037.2022.204</w:t>
      </w:r>
    </w:p>
    <w:p w14:paraId="08A61E5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7E73E1B"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Pappas, C. (2025). The adult learning theory: Andragogy of Malcolm Knowles. eLearning Industry. Pridobljeno s https://elearningindustry.com/the-adult-learning-theory-andragogy-of-malcolm-knowles</w:t>
      </w:r>
    </w:p>
    <w:p w14:paraId="2D4682B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511E92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Park University. (2025). Adult learning theory: How adults learn differently. Pridobljeno s https://www.park.edu/blog/adult-learning-theory-how-adults-learn-differently/</w:t>
      </w:r>
    </w:p>
    <w:p w14:paraId="1B2A068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649844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Prentice, M., in Robinson, M. (2010). Improving student learning outcomes with service learning. AACC. Pridobljeno s http://files.eric.ed.gov/fulltext/ED535904.pdf</w:t>
      </w:r>
    </w:p>
    <w:p w14:paraId="3D6518D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A7804D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Reed, S. C., in Marienau, C. (2008). Maintaining a steady fire: Sustaining adults' commitment to community based learning. New Directions for Adult and Continuing Education, 118, 97–107.</w:t>
      </w:r>
    </w:p>
    <w:p w14:paraId="195F9B0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3CB485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Richards, K., in Levesque-Bristol, C. (2016). The influence of self-efficacy and self-regulated motivation on. Journal of Applied Communication Research, 44(2), 173–192.</w:t>
      </w:r>
    </w:p>
    <w:p w14:paraId="28A3018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07F7729"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Ross-Gordon, J. M. (2011). Research on adult learners: Supporting the needs of a student population that is no longer nontraditional. Peer Review, 13(1). Pridobljeno s https://www.aacu.org/publications-research/periodicals/research-adult-learners-supporting-needs-student-population-no</w:t>
      </w:r>
    </w:p>
    <w:p w14:paraId="050B19D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5EA2A1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Sahni, R., in Chilton, L. B. (2025). Beyond training: Social dynamics of AI adoption in industry. arXiv. https://arxiv.org/abs/2502.13281</w:t>
      </w:r>
    </w:p>
    <w:p w14:paraId="535C780F"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D76C5E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lastRenderedPageBreak/>
        <w:t>Schön, D. A. (1987). Educating the reflective practitioner: Toward a new design for teaching and learning in the professions. Jossey-Bass.</w:t>
      </w:r>
    </w:p>
    <w:p w14:paraId="7092B1F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6C321E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Schwehm, J. S., Lasker-Scott, T., in Elufiede, O. (2017). A comparison of learning outcomes for adult students in on-site and online service-learning. Online Journal of Distance Learning Administration, 20(1). Pridobljeno s https://ojdla.com/archive/spring201/schwehm_scott_elufiede201.pdf</w:t>
      </w:r>
    </w:p>
    <w:p w14:paraId="46F8A9C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C972C96"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Sigmon, R. L. (1979). Service-learning: Three principles. Synergist, 8(10), 9–11.</w:t>
      </w:r>
    </w:p>
    <w:p w14:paraId="5E964DC8"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732E2F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Smith, M. K. (2001). Kurt Lewin, groups, experiential learning and action research. The encyclopedia of informal education. Pridobljeno s http://www.infed.org/thinkers/et-lewin.htm</w:t>
      </w:r>
    </w:p>
    <w:p w14:paraId="06395055"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FCB8E5D"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Tarnowski, T. (2015). Action learning. Play-in-Business. Pridobljeno s http://www.plays-in-business.com/action-learning</w:t>
      </w:r>
    </w:p>
    <w:p w14:paraId="1F217C8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2B3DCE0"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Tweedell, C. B. (2000). A theory of adult learning and implications for practice. Proceedings from Annual Meeting of the Midwest Educational Research Association. ERIC Digest.</w:t>
      </w:r>
    </w:p>
    <w:p w14:paraId="292D6B4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E7A07F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University of New South Wales. (2015). Reflective listening. Pridobljeno s https://teaching.unsw.edu.au/group-work-reflective-listening</w:t>
      </w:r>
    </w:p>
    <w:p w14:paraId="3A917CC1"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A6BDE0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Vella, J. (2002). Learning to listen. Learning to teach. The power of dialogue in educating adults (rev. izd.). Jossey-Bass Publishers.</w:t>
      </w:r>
    </w:p>
    <w:p w14:paraId="17311A7E"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1D221EC"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Waldner, L. S., McGorry, S. Y., in Widener, M. C. (2012). E-service-learning: The evolution of service-learning to engage a growing online student population. Journal of Higher Education Outreach and Engagement, 16(2), 123–150.</w:t>
      </w:r>
    </w:p>
    <w:p w14:paraId="056C45E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5C1BF34"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Wheeler, S. (2012). Time for a rethink on Kolb: The case for open learning cycles. Education Studies.</w:t>
      </w:r>
    </w:p>
    <w:p w14:paraId="14D0E80A"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E28724A" w14:textId="2D627950"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2478">
        <w:rPr>
          <w:rFonts w:ascii="Times New Roman" w:eastAsia="Times New Roman" w:hAnsi="Times New Roman" w:cs="Times New Roman"/>
          <w:kern w:val="0"/>
          <w:lang w:eastAsia="en-GB"/>
          <w14:ligatures w14:val="none"/>
        </w:rPr>
        <w:t>Yorio, P. L., in Ye, F. (2012). A meta-analysis on the effects of service-learning on the social, personal, and cognitive outcomes of learning. Academy of Management Learning &amp; Education, 11(1), 9–27.</w:t>
      </w:r>
    </w:p>
    <w:p w14:paraId="63BAB233"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8BB582C" w14:textId="77777777" w:rsidR="00B92478" w:rsidRPr="00B92478" w:rsidRDefault="00B92478" w:rsidP="00B92478">
      <w:pPr>
        <w:spacing w:after="0" w:line="240" w:lineRule="auto"/>
        <w:rPr>
          <w:rFonts w:ascii="Times New Roman" w:eastAsia="Times New Roman" w:hAnsi="Times New Roman" w:cs="Times New Roman"/>
          <w:kern w:val="0"/>
          <w:lang w:eastAsia="en-GB"/>
          <w14:ligatures w14:val="none"/>
        </w:rPr>
      </w:pPr>
    </w:p>
    <w:p w14:paraId="3C8E79E7" w14:textId="77777777" w:rsidR="00B92478" w:rsidRPr="00B92478" w:rsidRDefault="00B92478" w:rsidP="00B92478">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04F00F6" w14:textId="77777777" w:rsidR="00B92478" w:rsidRDefault="00B92478"/>
    <w:sectPr w:rsidR="00B92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495F"/>
    <w:multiLevelType w:val="multilevel"/>
    <w:tmpl w:val="4EC8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43D42"/>
    <w:multiLevelType w:val="multilevel"/>
    <w:tmpl w:val="A4A6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042561">
    <w:abstractNumId w:val="0"/>
  </w:num>
  <w:num w:numId="2" w16cid:durableId="204258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78"/>
    <w:rsid w:val="009B58DB"/>
    <w:rsid w:val="00B9247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817F"/>
  <w15:chartTrackingRefBased/>
  <w15:docId w15:val="{D64F8A7C-364C-BA4C-8356-A5116702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2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2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78"/>
    <w:rPr>
      <w:rFonts w:eastAsiaTheme="majorEastAsia" w:cstheme="majorBidi"/>
      <w:color w:val="272727" w:themeColor="text1" w:themeTint="D8"/>
    </w:rPr>
  </w:style>
  <w:style w:type="paragraph" w:styleId="Title">
    <w:name w:val="Title"/>
    <w:basedOn w:val="Normal"/>
    <w:next w:val="Normal"/>
    <w:link w:val="TitleChar"/>
    <w:uiPriority w:val="10"/>
    <w:qFormat/>
    <w:rsid w:val="00B92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78"/>
    <w:pPr>
      <w:spacing w:before="160"/>
      <w:jc w:val="center"/>
    </w:pPr>
    <w:rPr>
      <w:i/>
      <w:iCs/>
      <w:color w:val="404040" w:themeColor="text1" w:themeTint="BF"/>
    </w:rPr>
  </w:style>
  <w:style w:type="character" w:customStyle="1" w:styleId="QuoteChar">
    <w:name w:val="Quote Char"/>
    <w:basedOn w:val="DefaultParagraphFont"/>
    <w:link w:val="Quote"/>
    <w:uiPriority w:val="29"/>
    <w:rsid w:val="00B92478"/>
    <w:rPr>
      <w:i/>
      <w:iCs/>
      <w:color w:val="404040" w:themeColor="text1" w:themeTint="BF"/>
    </w:rPr>
  </w:style>
  <w:style w:type="paragraph" w:styleId="ListParagraph">
    <w:name w:val="List Paragraph"/>
    <w:basedOn w:val="Normal"/>
    <w:uiPriority w:val="34"/>
    <w:qFormat/>
    <w:rsid w:val="00B92478"/>
    <w:pPr>
      <w:ind w:left="720"/>
      <w:contextualSpacing/>
    </w:pPr>
  </w:style>
  <w:style w:type="character" w:styleId="IntenseEmphasis">
    <w:name w:val="Intense Emphasis"/>
    <w:basedOn w:val="DefaultParagraphFont"/>
    <w:uiPriority w:val="21"/>
    <w:qFormat/>
    <w:rsid w:val="00B92478"/>
    <w:rPr>
      <w:i/>
      <w:iCs/>
      <w:color w:val="0F4761" w:themeColor="accent1" w:themeShade="BF"/>
    </w:rPr>
  </w:style>
  <w:style w:type="paragraph" w:styleId="IntenseQuote">
    <w:name w:val="Intense Quote"/>
    <w:basedOn w:val="Normal"/>
    <w:next w:val="Normal"/>
    <w:link w:val="IntenseQuoteChar"/>
    <w:uiPriority w:val="30"/>
    <w:qFormat/>
    <w:rsid w:val="00B92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478"/>
    <w:rPr>
      <w:i/>
      <w:iCs/>
      <w:color w:val="0F4761" w:themeColor="accent1" w:themeShade="BF"/>
    </w:rPr>
  </w:style>
  <w:style w:type="character" w:styleId="IntenseReference">
    <w:name w:val="Intense Reference"/>
    <w:basedOn w:val="DefaultParagraphFont"/>
    <w:uiPriority w:val="32"/>
    <w:qFormat/>
    <w:rsid w:val="00B92478"/>
    <w:rPr>
      <w:b/>
      <w:bCs/>
      <w:smallCaps/>
      <w:color w:val="0F4761" w:themeColor="accent1" w:themeShade="BF"/>
      <w:spacing w:val="5"/>
    </w:rPr>
  </w:style>
  <w:style w:type="paragraph" w:customStyle="1" w:styleId="ng-star-inserted">
    <w:name w:val="ng-star-inserted"/>
    <w:basedOn w:val="Normal"/>
    <w:rsid w:val="00B924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g-star-inserted1">
    <w:name w:val="ng-star-inserted1"/>
    <w:basedOn w:val="DefaultParagraphFont"/>
    <w:rsid w:val="00B92478"/>
  </w:style>
  <w:style w:type="character" w:customStyle="1" w:styleId="apple-converted-space">
    <w:name w:val="apple-converted-space"/>
    <w:basedOn w:val="DefaultParagraphFont"/>
    <w:rsid w:val="00B92478"/>
  </w:style>
  <w:style w:type="character" w:styleId="Strong">
    <w:name w:val="Strong"/>
    <w:basedOn w:val="DefaultParagraphFont"/>
    <w:uiPriority w:val="22"/>
    <w:qFormat/>
    <w:rsid w:val="00B92478"/>
    <w:rPr>
      <w:b/>
      <w:bCs/>
    </w:rPr>
  </w:style>
  <w:style w:type="paragraph" w:styleId="HTMLPreformatted">
    <w:name w:val="HTML Preformatted"/>
    <w:basedOn w:val="Normal"/>
    <w:link w:val="HTMLPreformattedChar"/>
    <w:uiPriority w:val="99"/>
    <w:semiHidden/>
    <w:unhideWhenUsed/>
    <w:rsid w:val="00B9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B92478"/>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8172</Words>
  <Characters>46587</Characters>
  <Application>Microsoft Office Word</Application>
  <DocSecurity>0</DocSecurity>
  <Lines>388</Lines>
  <Paragraphs>109</Paragraphs>
  <ScaleCrop>false</ScaleCrop>
  <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Poljanšek, Mark</dc:creator>
  <cp:keywords/>
  <dc:description/>
  <cp:lastModifiedBy>Poljanšek, Mark</cp:lastModifiedBy>
  <cp:revision>1</cp:revision>
  <dcterms:created xsi:type="dcterms:W3CDTF">2025-12-13T19:07:00Z</dcterms:created>
  <dcterms:modified xsi:type="dcterms:W3CDTF">2025-12-13T19:11:00Z</dcterms:modified>
</cp:coreProperties>
</file>